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APRIL 12,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RONALD AVENT JACKSON,</w:t>
            </w:r>
          </w:p>
          <w:p>
            <w:pPr>
              <w:rPr>
                <w:b/>
                <w:bCs/>
              </w:rPr>
            </w:pPr>
          </w:p>
          <w:p>
            <w:pPr>
              <w:rPr>
                <w:b/>
                <w:bCs/>
              </w:rPr>
            </w:pPr>
            <w:r>
              <w:rPr>
                <w:b/>
                <w:bCs/>
              </w:rPr>
              <w:t>Member No.  49536,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10-O-06148 (10-O-07119;</w:t>
            </w:r>
          </w:p>
          <w:p>
            <w:pPr>
              <w:rPr>
                <w:b/>
                <w:bCs/>
              </w:rPr>
            </w:pPr>
            <w:r>
              <w:rPr>
                <w:b/>
                <w:bCs/>
              </w:rPr>
              <w:t>10-O-07680)-RAH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Respondent Ronald Avent Jackson (respondent) was charged with ten counts of violations of the Rules of Professional Conduct (RPC) and the Business and Professions Code.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1"/>
      </w:r>
      <w:r>
        <w:t xml:space="preserve">  </w:t>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June 25, 1971, and has been a member since then.</w:t>
      </w:r>
    </w:p>
    <w:p>
      <w:pPr>
        <w:spacing w:line="480" w:lineRule="auto"/>
        <w:rPr>
          <w:b/>
        </w:rPr>
      </w:pPr>
      <w:r>
        <w:rPr>
          <w:b/>
        </w:rPr>
        <w:t>Procedural Requirements Have Been Satisfied</w:t>
      </w:r>
    </w:p>
    <w:p>
      <w:pPr>
        <w:spacing w:line="480" w:lineRule="auto"/>
      </w:pPr>
      <w:r>
        <w:tab/>
        <w:t xml:space="preserve">Respondent has actual knowledge of this disciplinary proceeding.  On December 29, 2010, a 20-day letter was mailed to respondent at his official membership records address.  The letter was not returned by the U.S. Postal Service, and on March 2, 2011, respondent sent a letter to a State Bar investigator advising the investigator that he now resides in Mexico.  Attached to the letter was, among other things, a declaration by respondent in support of resignation and a Resignation with Charges Pending form which appeared improperly printed as some of the text was obscured.    </w:t>
      </w:r>
    </w:p>
    <w:p>
      <w:pPr>
        <w:spacing w:line="480" w:lineRule="auto"/>
        <w:ind w:firstLine="720"/>
      </w:pPr>
      <w:r>
        <w:t xml:space="preserve">On April 7, 2011, the State Bar filed and properly served the NDC on respondent by certified mail, return receipt requested at his membership records address.  The NDC notified respondent that his failure to participate in the proceeding would result in a disbarment recommendation.  (Rule 5.41.)  </w:t>
      </w:r>
    </w:p>
    <w:p>
      <w:pPr>
        <w:spacing w:line="480" w:lineRule="auto"/>
      </w:pPr>
      <w:r>
        <w:rPr>
          <w:b/>
        </w:rPr>
        <w:tab/>
      </w:r>
      <w:r>
        <w:t>Thereafter, the State Bar attempted to reach respondent by email to his email address listed in his membership records,</w:t>
      </w:r>
      <w:r>
        <w:rPr>
          <w:rStyle w:val="FootnoteReference"/>
        </w:rPr>
        <w:footnoteReference w:id="3"/>
      </w:r>
      <w:r>
        <w:t xml:space="preserve"> by letters sent to respondent’s membership records address and to an address in Mexico which respondent had provided on his resignation form, and by telephone to respondent’s official membership records telephone number.      </w:t>
      </w:r>
      <w:r>
        <w:tab/>
      </w:r>
      <w:r>
        <w:rPr>
          <w:b/>
        </w:rPr>
        <w:tab/>
      </w:r>
      <w:r>
        <w:t xml:space="preserve">Respondent failed to file a response to the NDC.  On June 1, 2011, the State Bar filed and </w:t>
      </w:r>
      <w:r>
        <w:lastRenderedPageBreak/>
        <w:t xml:space="preserve">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w:t>
      </w:r>
    </w:p>
    <w:p>
      <w:pPr>
        <w:spacing w:line="480" w:lineRule="auto"/>
      </w:pPr>
      <w:r>
        <w:tab/>
        <w:t xml:space="preserve">Thereafter, between June 4 and June 7, 2011, respondent and the deputy trial counsel assigned to this matter exchanged emails.  In one email, respondent acknowledged that he received notice from the State Bar regarding these three cases; he tried to resign from the State Bar; he retired in January 2010 and moved to Mexico; he has no intention of returning to California or practicing law again; and he was aware of the default motion.  On June 8, 2011, respondent and the assigned deputy trial counsel had a telephone conversation.         </w:t>
      </w:r>
    </w:p>
    <w:p>
      <w:pPr>
        <w:spacing w:line="480" w:lineRule="auto"/>
      </w:pPr>
      <w:r>
        <w:tab/>
        <w:t>Despite having actual knowledge of this proceeding, respondent did not file a response to the motion, and his default was entered on June 17,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Respondent also did not seek to have his default set aside or vacated.  (Rule 5.83(C)(1) [attorney has 180 days to file motion to set aside default].)  On January 13, 2012, the State Bar filed the petition for disbarment.  As required by rule 5.85(A), the State Bar reported in the petition that:  (1) it has had no contact with respondent since the default was entered;</w:t>
      </w:r>
    </w:p>
    <w:p>
      <w:pPr>
        <w:spacing w:line="480" w:lineRule="auto"/>
        <w:rPr>
          <w:b/>
        </w:rPr>
      </w:pPr>
      <w:r>
        <w:t>(2) respondent has no other disciplinary charges pending against him; (3) respondent has two prior records of discipline; and (4) the Client Security Fund has not paid out any claims as a result of respondent’s conduct.  Respondent did not respond to the petition for disbarment or move to set aside or vacate the default.  The case was submitted for decision on February 8, 2012.</w:t>
      </w:r>
      <w:r>
        <w:rPr>
          <w:b/>
        </w:rPr>
        <w:t xml:space="preserve">    </w:t>
      </w:r>
    </w:p>
    <w:p>
      <w:pPr>
        <w:spacing w:line="480" w:lineRule="auto"/>
        <w:rPr>
          <w:b/>
        </w:rPr>
      </w:pPr>
      <w:r>
        <w:rPr>
          <w:b/>
        </w:rPr>
        <w:tab/>
      </w:r>
      <w:r>
        <w:t>Respondent has been disciplined on two prior occasions.  Effective January 18, 1991, respondent was privately reproved with conditions.  The misconduct involved respondent’s failure to properly supervise an attorney employee and respondent’s failure to perform all services for which he was employed.</w:t>
      </w:r>
      <w:r>
        <w:rPr>
          <w:b/>
        </w:rPr>
        <w:t xml:space="preserve">  </w:t>
      </w:r>
      <w:r>
        <w:t>Respondent and the State Bar entered into a stipulation as to facts, conclusions of law and the disposition in this matter.</w:t>
      </w:r>
      <w:r>
        <w:rPr>
          <w:b/>
        </w:rPr>
        <w:t xml:space="preserve">    </w:t>
      </w:r>
    </w:p>
    <w:p>
      <w:pPr>
        <w:spacing w:line="480" w:lineRule="auto"/>
        <w:rPr>
          <w:b/>
        </w:rPr>
      </w:pPr>
      <w:r>
        <w:rPr>
          <w:b/>
        </w:rPr>
        <w:tab/>
      </w:r>
      <w:r>
        <w:t>Pursuant to a Supreme Court order filed on July 8, 1993, respondent was suspended for 60 days, the execution of which was stayed, and he was placed on probation for two years subject to conditions of probation.  Respondent was disciplined for his failure to perform legal services with competence, failing to maintain the respect due to the courts and judicial officers, and failing to keep a client reasonably informed about significant developments in the client’s matter.  Respondent and the State Bar entered into a stipulation as to facts, conclusions of law and the disposition in this matter.</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except as otherwise noted, and, therefore, violated a statute, rule or court order that would warrant the imposition of discipline.  (Rule 5.85, subd. (E)(1)(d).) </w:t>
      </w:r>
    </w:p>
    <w:p>
      <w:pPr>
        <w:spacing w:line="480" w:lineRule="auto"/>
        <w:rPr>
          <w:b/>
        </w:rPr>
      </w:pPr>
      <w:r>
        <w:tab/>
      </w:r>
      <w:r>
        <w:rPr>
          <w:b/>
        </w:rPr>
        <w:t>1.</w:t>
      </w:r>
      <w:r>
        <w:rPr>
          <w:b/>
        </w:rPr>
        <w:tab/>
        <w:t>Case Number 10-O-06148 (The Tai Matter)</w:t>
      </w:r>
    </w:p>
    <w:p>
      <w:pPr>
        <w:spacing w:line="480" w:lineRule="auto"/>
        <w:rPr>
          <w:b/>
        </w:rPr>
      </w:pPr>
      <w:r>
        <w:rPr>
          <w:b/>
        </w:rPr>
        <w:tab/>
      </w:r>
      <w:r>
        <w:t>Count One - respondent willfully violated rule 3-700(A)(2) of the RPC</w:t>
      </w:r>
      <w:r>
        <w:rPr>
          <w:b/>
        </w:rPr>
        <w:t xml:space="preserve"> </w:t>
      </w:r>
      <w:r>
        <w:t>(withdrawing from employment without taking reasonable steps to avoid reasonably foreseeable prejudice to a client’s rights)</w:t>
      </w:r>
      <w:r>
        <w:rPr>
          <w:b/>
        </w:rPr>
        <w:t xml:space="preserve"> </w:t>
      </w:r>
      <w:r>
        <w:t>by ceasing to represent his client without notice and without returning the client file or any unearned fees.</w:t>
      </w:r>
      <w:r>
        <w:rPr>
          <w:b/>
        </w:rPr>
        <w:t xml:space="preserve">  </w:t>
      </w:r>
    </w:p>
    <w:p>
      <w:pPr>
        <w:spacing w:line="480" w:lineRule="auto"/>
      </w:pPr>
      <w:r>
        <w:rPr>
          <w:b/>
        </w:rPr>
        <w:tab/>
      </w:r>
      <w:r>
        <w:t xml:space="preserve">Count Two – respondent willfully violated rule 3-700(D)(2) of the RPC (failing to refund unearned fees) by failing to refund promptly any part of a $3,500 fee paid in advance that has not been earned.  </w:t>
      </w:r>
    </w:p>
    <w:p>
      <w:pPr>
        <w:spacing w:line="480" w:lineRule="auto"/>
      </w:pPr>
      <w:r>
        <w:tab/>
        <w:t xml:space="preserve">Count Three – respondent willfully violated rule 4-100(B)(3) of the RPC (failure to maintain records of client property/render appropriate accounts) by failing to provide an itemized accounting for the attorney’s fees paid by his client.  </w:t>
      </w:r>
    </w:p>
    <w:p>
      <w:pPr>
        <w:spacing w:line="480" w:lineRule="auto"/>
        <w:rPr>
          <w:b/>
        </w:rPr>
      </w:pPr>
      <w:r>
        <w:tab/>
        <w:t xml:space="preserve">Count Four – respondent violated section 6068, subdivision (i) (failing to cooperate/participate in a disciplinary investigation) by not providing a written response to the allegations or otherwise cooperating in the investigation of his client’s matter.  </w:t>
      </w:r>
    </w:p>
    <w:p>
      <w:pPr>
        <w:spacing w:line="480" w:lineRule="auto"/>
        <w:rPr>
          <w:b/>
        </w:rPr>
      </w:pPr>
      <w:r>
        <w:tab/>
      </w:r>
      <w:r>
        <w:rPr>
          <w:b/>
        </w:rPr>
        <w:t>2.</w:t>
      </w:r>
      <w:r>
        <w:rPr>
          <w:b/>
        </w:rPr>
        <w:tab/>
        <w:t>Case Number 10-O-07119 (The Mancini Matter)</w:t>
      </w:r>
    </w:p>
    <w:p>
      <w:pPr>
        <w:spacing w:line="480" w:lineRule="auto"/>
      </w:pPr>
      <w:r>
        <w:rPr>
          <w:b/>
        </w:rPr>
        <w:tab/>
      </w:r>
      <w:r>
        <w:t>Count Five – respondent willfully violated rule 3-700(A)(2) of the RPC</w:t>
      </w:r>
      <w:r>
        <w:rPr>
          <w:b/>
        </w:rPr>
        <w:t xml:space="preserve"> </w:t>
      </w:r>
      <w:r>
        <w:t>by ceasing to represent his client without notice, without returning the client file, and without refunding unearned fees.</w:t>
      </w:r>
    </w:p>
    <w:p>
      <w:pPr>
        <w:spacing w:line="480" w:lineRule="auto"/>
      </w:pPr>
      <w:r>
        <w:tab/>
        <w:t xml:space="preserve">Count Six - respondent willfully violated rule 3-700(D)(2) of the RPC by failing to refund promptly any part of a $2,500 fee paid in advance that has not been earned.  </w:t>
      </w:r>
    </w:p>
    <w:p>
      <w:pPr>
        <w:spacing w:line="480" w:lineRule="auto"/>
        <w:rPr>
          <w:b/>
        </w:rPr>
      </w:pPr>
      <w:r>
        <w:tab/>
        <w:t>Count Seven – respondent willfully violated rule 4-100(B)(4) of the RPC (promptly pay/deliver client funds) by not returning the $300 in advanced costs as requested by his client.</w:t>
      </w:r>
      <w:r>
        <w:tab/>
      </w:r>
      <w:r>
        <w:rPr>
          <w:b/>
        </w:rPr>
        <w:t>3.</w:t>
      </w:r>
      <w:r>
        <w:rPr>
          <w:b/>
        </w:rPr>
        <w:tab/>
        <w:t>Case Number 10-O-07680 (The Voeller Matter)</w:t>
      </w:r>
    </w:p>
    <w:p>
      <w:pPr>
        <w:spacing w:line="480" w:lineRule="auto"/>
        <w:rPr>
          <w:b/>
        </w:rPr>
      </w:pPr>
      <w:r>
        <w:rPr>
          <w:b/>
        </w:rPr>
        <w:tab/>
      </w:r>
      <w:r>
        <w:t>Count Eight - respondent willfully violated rule 3-700(A)(2) of the RPC</w:t>
      </w:r>
      <w:r>
        <w:rPr>
          <w:b/>
        </w:rPr>
        <w:t xml:space="preserve"> </w:t>
      </w:r>
      <w:r>
        <w:t>by ceasing to represent his client without notice, without returning the client file, and without refunding unearned fees.</w:t>
      </w:r>
      <w:r>
        <w:rPr>
          <w:b/>
        </w:rPr>
        <w:t xml:space="preserve">  </w:t>
      </w:r>
    </w:p>
    <w:p>
      <w:pPr>
        <w:spacing w:line="480" w:lineRule="auto"/>
      </w:pPr>
      <w:r>
        <w:rPr>
          <w:b/>
        </w:rPr>
        <w:tab/>
      </w:r>
      <w:r>
        <w:t xml:space="preserve">Count Nine - respondent willfully violated rule 3-700(D)(2) of the RPC by failing to refund promptly any part of a $3,500 fee paid in advance that has not been earned.  </w:t>
      </w:r>
    </w:p>
    <w:p>
      <w:pPr>
        <w:spacing w:line="480" w:lineRule="auto"/>
      </w:pPr>
      <w:r>
        <w:t xml:space="preserve"> </w:t>
      </w:r>
      <w:r>
        <w:rPr>
          <w:b/>
        </w:rPr>
        <w:t xml:space="preserve">          </w:t>
      </w:r>
      <w:r>
        <w:rPr>
          <w:b/>
        </w:rPr>
        <w:tab/>
      </w:r>
      <w:r>
        <w:t>Count Ten - respondent willfully violated rule 4-100(B)(3) of the RPC by failing to provide an itemized accounting for the attorney’s fees and advanced costs paid by his client.</w:t>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rPr>
          <w:b/>
        </w:rPr>
      </w:pPr>
      <w:r>
        <w:rPr>
          <w:b/>
        </w:rPr>
        <w:tab/>
      </w:r>
      <w:r>
        <w:t xml:space="preserve">(2) respondent had actual notice of this proceeding prior to the entry of his default, as he unsuccessfully sought to resign from the State Bar with charges pending; respondent acknowledged to the deputy trial counsel that he received notice from the State Bar regarding these three pending cases; he tried to resign from the State Bar; he retired in January 2010; he moved to Mexico; he had no intention of returning to California or practicing law again; and he was aware of the default motion.  </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must recommend his disbarment.     </w:t>
      </w:r>
    </w:p>
    <w:p>
      <w:pPr>
        <w:rPr>
          <w:b/>
        </w:rPr>
      </w:pPr>
      <w:r>
        <w:rPr>
          <w:b/>
        </w:rPr>
        <w:t>/ / /</w:t>
      </w:r>
    </w:p>
    <w:p>
      <w:pPr>
        <w:rPr>
          <w:b/>
        </w:rPr>
      </w:pPr>
    </w:p>
    <w:p>
      <w:pPr>
        <w:rPr>
          <w:b/>
        </w:rPr>
      </w:pPr>
      <w:r>
        <w:rPr>
          <w:b/>
        </w:rPr>
        <w:t>/ / /</w:t>
      </w:r>
    </w:p>
    <w:p>
      <w:pPr>
        <w:rPr>
          <w:b/>
        </w:rPr>
      </w:pPr>
    </w:p>
    <w:p>
      <w:pPr>
        <w:rPr>
          <w:b/>
        </w:rPr>
      </w:pPr>
      <w:r>
        <w:rPr>
          <w:b/>
        </w:rPr>
        <w:t>/ / /</w:t>
      </w:r>
    </w:p>
    <w:p>
      <w:pPr>
        <w:rPr>
          <w:b/>
        </w:rPr>
      </w:pP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The court recommends that respondent Ronald Avent Jackson be disbarred from the practice of law in the State of California and that his name be stricken from the roll of attorneys.</w:t>
      </w:r>
    </w:p>
    <w:p>
      <w:pPr>
        <w:spacing w:line="480" w:lineRule="auto"/>
        <w:rPr>
          <w:b/>
        </w:rPr>
      </w:pPr>
      <w:r>
        <w:rPr>
          <w:b/>
        </w:rPr>
        <w:t>Restitution</w:t>
      </w:r>
    </w:p>
    <w:p>
      <w:pPr>
        <w:spacing w:line="480" w:lineRule="auto"/>
      </w:pPr>
      <w:r>
        <w:tab/>
        <w:t>The court also recommends that respondent be ordered to make restitution to the following payees:</w:t>
      </w:r>
    </w:p>
    <w:p>
      <w:pPr>
        <w:spacing w:line="480" w:lineRule="auto"/>
      </w:pPr>
      <w:r>
        <w:tab/>
        <w:t xml:space="preserve">(1)  James M. Tai in the amount of $3,500 plus 10 percent interest per year from   </w:t>
      </w:r>
      <w:r>
        <w:tab/>
        <w:t xml:space="preserve"> </w:t>
      </w:r>
      <w:r>
        <w:tab/>
        <w:t xml:space="preserve">   </w:t>
      </w:r>
      <w:r>
        <w:tab/>
        <w:t xml:space="preserve">       February 1, 2010;</w:t>
      </w:r>
    </w:p>
    <w:p>
      <w:pPr>
        <w:spacing w:line="480" w:lineRule="auto"/>
      </w:pPr>
      <w:r>
        <w:tab/>
        <w:t>(2)  Federico Mancini in the amount of $2,800</w:t>
      </w:r>
      <w:r>
        <w:rPr>
          <w:rStyle w:val="FootnoteReference"/>
        </w:rPr>
        <w:footnoteReference w:id="4"/>
      </w:r>
      <w:r>
        <w:t xml:space="preserve"> plus 10 percent interest per year from </w:t>
      </w:r>
      <w:r>
        <w:tab/>
        <w:t xml:space="preserve"> </w:t>
      </w:r>
      <w:r>
        <w:tab/>
        <w:t xml:space="preserve">       February 1, 2010; and</w:t>
      </w:r>
    </w:p>
    <w:p>
      <w:pPr>
        <w:spacing w:line="480" w:lineRule="auto"/>
      </w:pPr>
      <w:r>
        <w:tab/>
        <w:t xml:space="preserve">(3)  Patrick Voeller in the amount of $3,500 plus 10 percent interest per year from </w:t>
      </w:r>
      <w:r>
        <w:tab/>
        <w:t xml:space="preserve">  </w:t>
      </w:r>
      <w:r>
        <w:tab/>
        <w:t xml:space="preserve">       February 1, 2010.</w:t>
      </w:r>
    </w:p>
    <w:p>
      <w:pPr>
        <w:spacing w:line="480" w:lineRule="auto"/>
      </w:pPr>
      <w:r>
        <w:tab/>
        <w:t xml:space="preserve">Any restitution owed to the Client Security Fund is enforceable as provided in Business and Professions Code section 6140.5, subdivisions (c) and (d).  </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rPr>
          <w:b/>
        </w:rPr>
      </w:pPr>
      <w:r>
        <w:rPr>
          <w:b/>
        </w:rPr>
        <w:t xml:space="preserve">/ / / </w:t>
      </w:r>
    </w:p>
    <w:p>
      <w:pPr>
        <w:rPr>
          <w:b/>
        </w:rPr>
      </w:pPr>
    </w:p>
    <w:p>
      <w:pPr>
        <w:rPr>
          <w:b/>
        </w:rPr>
      </w:pPr>
      <w:r>
        <w:rPr>
          <w:b/>
        </w:rPr>
        <w:t>/ / /</w:t>
      </w:r>
    </w:p>
    <w:p>
      <w:pPr>
        <w:rPr>
          <w:b/>
        </w:rPr>
      </w:pPr>
    </w:p>
    <w:p>
      <w:pPr>
        <w:rPr>
          <w:b/>
        </w:rPr>
      </w:pPr>
      <w:r>
        <w:rPr>
          <w:b/>
        </w:rPr>
        <w:t>/ / /</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Ronald Avent Jackson, State Bar number 49536, be involuntarily enrolled as an inactive member of the State Bar of California, effective three calendar days after the service of this decision and order.  (Rules Proc. of State Bar,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April _____, 2012</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footnote>
  <w:footnote w:id="4">
    <w:p>
      <w:pPr>
        <w:pStyle w:val="FootnoteText"/>
      </w:pPr>
      <w:r>
        <w:rPr>
          <w:rStyle w:val="FootnoteReference"/>
        </w:rPr>
        <w:footnoteRef/>
      </w:r>
      <w:r>
        <w:t xml:space="preserve"> This figure represents the $2,500 in advanced fees and the $300 in advanced costs that Mancini paid to respondent.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PJHU4pjPBmilrgznAEjI6HzJhMM=" w:salt="YZ606BXdM2g66hqQlIyhWg=="/>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1964</Words>
  <Characters>10236</Characters>
  <Application>Microsoft Office Word</Application>
  <DocSecurity>0</DocSecurity>
  <Lines>213</Lines>
  <Paragraphs>94</Paragraphs>
  <ScaleCrop>false</ScaleCrop>
  <Manager/>
  <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2012-04-13T23:45:00Z</dcterms:created>
  <dcterms:modified xsi:type="dcterms:W3CDTF">2012-04-13T23:45:00Z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