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MARCH 26, 2012</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GUY ALLISON ODOM, JR.,</w:t>
            </w:r>
          </w:p>
          <w:p>
            <w:pPr>
              <w:rPr>
                <w:b/>
                <w:bCs/>
              </w:rPr>
            </w:pPr>
          </w:p>
          <w:p>
            <w:pPr>
              <w:rPr>
                <w:b/>
                <w:bCs/>
              </w:rPr>
            </w:pPr>
            <w:r>
              <w:rPr>
                <w:b/>
                <w:bCs/>
              </w:rPr>
              <w:t>Member No.  77618,</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10-O-07138-PEM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Guy Allison Odom, Jr., (respondent) was charged with (1) committing acts involving moral turpitude, dishonesty or corruption by misappropriating $175,304.51 in entrusted funds; and (2) failing to maintain the balance of funds received for the benefit of a client and deposited in a bank account labeled as a trust account.  He failed to participate either in person or through counsel, and his default was entered.  The Office of the Chief Trial Counsel (State Bar) filed a petition for disbarment under the Rules of Procedure of the State Bar, rule 5.85.</w:t>
      </w:r>
      <w:r>
        <w:rPr>
          <w:rStyle w:val="FootnoteReference"/>
        </w:rPr>
        <w:footnoteReference w:id="1"/>
      </w:r>
      <w:r>
        <w:t xml:space="preserve">  </w:t>
      </w:r>
    </w:p>
    <w:p>
      <w:pPr>
        <w:spacing w:line="480" w:lineRule="auto"/>
      </w:pPr>
      <w:r>
        <w:rPr>
          <w:b/>
        </w:rPr>
        <w:tab/>
      </w:r>
      <w:r>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r>
        <w:lastRenderedPageBreak/>
        <w:t>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December 21, 1977, and has been a member since then.</w:t>
      </w:r>
    </w:p>
    <w:p>
      <w:pPr>
        <w:spacing w:line="480" w:lineRule="auto"/>
        <w:rPr>
          <w:b/>
        </w:rPr>
      </w:pPr>
      <w:r>
        <w:rPr>
          <w:b/>
        </w:rPr>
        <w:t>Procedural Requirements Have Been Satisfied</w:t>
      </w:r>
    </w:p>
    <w:p>
      <w:pPr>
        <w:spacing w:line="480" w:lineRule="auto"/>
      </w:pPr>
      <w:r>
        <w:rPr>
          <w:b/>
        </w:rPr>
        <w:tab/>
      </w:r>
      <w:r>
        <w:t xml:space="preserve">On April 6, 2011, a 20-day letter was mailed to respondent’s then counsel.  On April 12, the State Bar received a letter from respondent’s counsel, which showed a “cc” to respondent, stating that he no longer represented respondent.  A copy of the 20-day letter was then mailed that day to respondent at his State Bar membership records address. </w:t>
      </w:r>
    </w:p>
    <w:p>
      <w:pPr>
        <w:spacing w:line="480" w:lineRule="auto"/>
      </w:pPr>
      <w:r>
        <w:rPr>
          <w:b/>
        </w:rPr>
        <w:tab/>
      </w:r>
      <w:r>
        <w:t xml:space="preserve">On May 12, 2011, the State Bar filed and properly served the NDC on respondent by certified mail, return receipt requested, and by regular, first-class mail at his membership records address.  The NDC notified respondent that his failure to participate in the proceeding would result in a disbarment recommendation.  (Rule 5.41.)  The return card was received by the State Bar on May 16, 2011, signed by “Megan Brown.”  The NDC mailed by regular, first-class mail was not returned by the U.S. Postal Service.   </w:t>
      </w:r>
    </w:p>
    <w:p>
      <w:pPr>
        <w:spacing w:line="480" w:lineRule="auto"/>
      </w:pPr>
      <w:r>
        <w:rPr>
          <w:b/>
        </w:rPr>
        <w:tab/>
      </w:r>
      <w:r>
        <w:t xml:space="preserve">Thereafter, the State Bar twice attempted to reach respondent by telephone at his official membership records telephone number, but received a telephone company recording.  The State Bar also called directory assistance for the area which includes respondent’s office membership </w:t>
      </w:r>
      <w:r>
        <w:lastRenderedPageBreak/>
        <w:t>records address; however, no new telephone numbers for respondent were obtained.  The State Bar also sent respondent an email message to two e-mail addresses.</w:t>
      </w:r>
      <w:r>
        <w:rPr>
          <w:rStyle w:val="FootnoteReference"/>
        </w:rPr>
        <w:footnoteReference w:id="3"/>
      </w:r>
      <w:r>
        <w:t xml:space="preserve">  The State Bar received automatic responses to both emails.  However, shortly after receiving one of the automatic responses, the State Bar received an email response requesting that the State Bar email respondent a copy of the NDC.  The State Bar did so, and thereafter, the State Bar received a return email message requesting that a disbarment stipulation be sent.      </w:t>
      </w:r>
    </w:p>
    <w:p>
      <w:pPr>
        <w:spacing w:line="480" w:lineRule="auto"/>
      </w:pPr>
      <w:r>
        <w:rPr>
          <w:b/>
        </w:rPr>
        <w:tab/>
      </w:r>
      <w:r>
        <w:t>Respondent failed to file a response to the NDC.  On June 7, 2011, the State Bar filed and properly served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June 23, 2011.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rPr>
          <w:b/>
        </w:rPr>
        <w:tab/>
      </w:r>
      <w:r>
        <w:t xml:space="preserve">Respondent also did not seek to have his default set aside or vacated.  (Rule 5.83(C)(1) [attorney has 180 days to file motion to set aside default].)  On February 2, 2012, the State Bar filed a petition for disbarment.  As required by rule 5.85(A), the State Bar reported in the petition that:  (1) it has had no contact with respondent since the default was entered; (2) respondent has nine other disciplinary investigations pending; (3) respondent has no record of prior discipline; and (4) the Client Security Fund (CSF) has not paid any claims as a result of respondent’s misconduct in this matter; however, there are two applications pending.  Respondent did not respond to the petition for disbarment or move to set aside or vacate the default.  The case was submitted for decision on March 7, 2012.    </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 subd. (E)(1)(d).) </w:t>
      </w:r>
    </w:p>
    <w:p>
      <w:pPr>
        <w:spacing w:line="480" w:lineRule="auto"/>
        <w:rPr>
          <w:b/>
        </w:rPr>
      </w:pPr>
      <w:r>
        <w:tab/>
      </w:r>
      <w:r>
        <w:rPr>
          <w:b/>
        </w:rPr>
        <w:t>Case Number 10-O-07138 (The Howard Estate Matter)</w:t>
      </w:r>
    </w:p>
    <w:p>
      <w:pPr>
        <w:spacing w:line="480" w:lineRule="auto"/>
      </w:pPr>
      <w:r>
        <w:rPr>
          <w:b/>
        </w:rPr>
        <w:tab/>
      </w:r>
      <w:r>
        <w:t>Count One  - respondent violated Business and Professions Code section 6106 (moral turpitude, dishonesty or corruption) by misappropriating $175,304.51 in entrusted funds.</w:t>
      </w:r>
    </w:p>
    <w:p>
      <w:pPr>
        <w:spacing w:line="480" w:lineRule="auto"/>
      </w:pPr>
      <w:r>
        <w:tab/>
        <w:t xml:space="preserve">Count Two – respondent violated rule 4-100(A) of the Rules of Professional Conduct (preserving identify of funds and property of a client) by failing to maintain the balance of funds received for the benefit of a client and deposited in a bank account labeled as a trust account.    </w:t>
      </w:r>
    </w:p>
    <w:p>
      <w:pPr>
        <w:spacing w:line="480" w:lineRule="auto"/>
        <w:rPr>
          <w:b/>
        </w:rPr>
      </w:pPr>
      <w:r>
        <w:rPr>
          <w:b/>
        </w:rPr>
        <w:t>Disbarment is Mandated under the Rules of Procedure</w:t>
      </w:r>
    </w:p>
    <w:p>
      <w:pPr>
        <w:spacing w:line="480" w:lineRule="auto"/>
      </w:pPr>
      <w:r>
        <w:tab/>
        <w:t>Based on the above, the court concludes that the requirements of rule 5.85(E) have been satisfied, and respondent’s disbarment must be recommended.  In particular:</w:t>
      </w:r>
    </w:p>
    <w:p>
      <w:pPr>
        <w:spacing w:line="480" w:lineRule="auto"/>
      </w:pPr>
      <w:r>
        <w:tab/>
        <w:t xml:space="preserve">(1) the NDC was properly served on respondent under rule 5.25; </w:t>
      </w:r>
    </w:p>
    <w:p>
      <w:pPr>
        <w:spacing w:line="480" w:lineRule="auto"/>
        <w:rPr>
          <w:b/>
        </w:rPr>
      </w:pPr>
      <w:r>
        <w:rPr>
          <w:b/>
        </w:rPr>
        <w:tab/>
      </w:r>
      <w:r>
        <w:t xml:space="preserve">(2) reasonable diligence was used to notify respondent of the proceedings prior to the entry of his default, as the State Bar sent respondent an email message to two e-mail addresses and received a request for a copy of the NDC; after emailing a copy of the NDC, the State Bar received an email message requesting a disbarment stipulation;      </w:t>
      </w:r>
    </w:p>
    <w:p>
      <w:pPr>
        <w:spacing w:line="480" w:lineRule="auto"/>
      </w:pPr>
      <w:r>
        <w:rPr>
          <w:b/>
        </w:rPr>
        <w:tab/>
      </w:r>
      <w:r>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adequate notice and opportunity, respondent failed to participate in this disciplinary proceeding.  As set forth in the Rules of Procedure of the State Bar, the court must recommend his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Guy Allison Odom, Jr., be disbarred from the practice of law in the State of California and that his name be stricken from the roll of attorneys.</w:t>
      </w:r>
    </w:p>
    <w:p>
      <w:pPr>
        <w:spacing w:line="480" w:lineRule="auto"/>
        <w:rPr>
          <w:b/>
        </w:rPr>
      </w:pPr>
      <w:r>
        <w:rPr>
          <w:b/>
        </w:rPr>
        <w:t>Restitution</w:t>
      </w:r>
    </w:p>
    <w:p>
      <w:pPr>
        <w:spacing w:line="480" w:lineRule="auto"/>
      </w:pPr>
      <w:r>
        <w:rPr>
          <w:b/>
        </w:rPr>
        <w:tab/>
      </w:r>
      <w:r>
        <w:t xml:space="preserve">The court also recommends that respondent be ordered to make restitution to the Estate of Ruby Lee Howard in the amount of $175,304.51 plus 10 percent interest per year from December 23, 2010.  Any restitution owed to the Client Security Fund is enforceable as provided in Business and Professions Code section 6140.5, subdivisions (c) and (d).  </w:t>
      </w:r>
    </w:p>
    <w:p>
      <w:pPr>
        <w:spacing w:line="480" w:lineRule="auto"/>
        <w:rPr>
          <w:b/>
        </w:rPr>
      </w:pPr>
      <w:r>
        <w:rPr>
          <w:b/>
        </w:rPr>
        <w:t>Rule 9.20</w:t>
      </w:r>
    </w:p>
    <w:p>
      <w:pPr>
        <w:spacing w:line="480" w:lineRule="auto"/>
      </w:pPr>
      <w:r>
        <w:rPr>
          <w:b/>
        </w:rPr>
        <w:tab/>
      </w:r>
      <w:r>
        <w:t>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w:t>
      </w:r>
    </w:p>
    <w:p>
      <w:pPr>
        <w:rPr>
          <w:b/>
        </w:rPr>
      </w:pPr>
      <w:r>
        <w:rPr>
          <w:b/>
        </w:rPr>
        <w:t>/ / /</w:t>
      </w:r>
    </w:p>
    <w:p>
      <w:pPr>
        <w:rPr>
          <w:b/>
        </w:rPr>
      </w:pPr>
    </w:p>
    <w:p>
      <w:pPr>
        <w:rPr>
          <w:b/>
        </w:rPr>
      </w:pPr>
      <w:r>
        <w:rPr>
          <w:b/>
        </w:rPr>
        <w:t>/ / /</w:t>
      </w:r>
    </w:p>
    <w:p>
      <w:pPr>
        <w:rPr>
          <w:b/>
        </w:rPr>
      </w:pPr>
    </w:p>
    <w:p>
      <w:pPr>
        <w:rPr>
          <w:b/>
        </w:rPr>
      </w:pPr>
      <w:r>
        <w:rPr>
          <w:b/>
        </w:rPr>
        <w:t>/ / /</w:t>
      </w:r>
    </w:p>
    <w:p>
      <w:pPr>
        <w:rPr>
          <w:b/>
        </w:rPr>
      </w:pP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Guy Allison Odom, Jr., State Bar number 77618, be involuntarily enrolled as an inactive member of the State Bar of California, effective three calendar days after the service of this decision and order.  (Rules Proc. of State Bar, rule 5.111(D).)</w:t>
      </w:r>
    </w:p>
    <w:p>
      <w:pPr>
        <w:spacing w:line="480" w:lineRule="auto"/>
      </w:pP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April _____, 2012</w:t>
            </w:r>
          </w:p>
        </w:tc>
        <w:tc>
          <w:tcPr>
            <w:tcW w:w="4565" w:type="dxa"/>
            <w:tcBorders>
              <w:top w:val="single" w:sz="4" w:space="0" w:color="auto"/>
              <w:bottom w:val="nil"/>
              <w:right w:val="nil"/>
            </w:tcBorders>
          </w:tcPr>
          <w:p>
            <w:r>
              <w:t>Pat McElroy</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cryptProviderType="rsaFull" w:cryptAlgorithmClass="hash" w:cryptAlgorithmType="typeAny" w:cryptAlgorithmSid="4" w:cryptSpinCount="100000" w:hash="dRksszOC2hYFSs0Q1C6I3VmuoN4=" w:salt="pSqcAdBfGtc3txya6QBoFw=="/>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1458</Words>
  <Characters>7555</Characters>
  <Application>Microsoft Office Word</Application>
  <DocSecurity>0</DocSecurity>
  <Lines>160</Lines>
  <Paragraphs>68</Paragraphs>
  <ScaleCrop>false</ScaleCrop>
  <Manager/>
  <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2012-04-06T01:45:00Z</dcterms:created>
  <dcterms:modified xsi:type="dcterms:W3CDTF">2012-04-06T01:45:00Z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