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7,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PETER JASON CABBINESS,</w:t>
            </w:r>
          </w:p>
          <w:p>
            <w:pPr>
              <w:rPr>
                <w:b/>
                <w:bCs/>
              </w:rPr>
            </w:pPr>
          </w:p>
          <w:p>
            <w:pPr>
              <w:rPr>
                <w:b/>
                <w:bCs/>
              </w:rPr>
            </w:pPr>
            <w:r>
              <w:rPr>
                <w:b/>
                <w:bCs/>
              </w:rPr>
              <w:t>Member No.  185376,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10-O-10876 (10-O-10877;</w:t>
            </w:r>
          </w:p>
          <w:p>
            <w:pPr>
              <w:rPr>
                <w:b/>
                <w:bCs/>
              </w:rPr>
            </w:pPr>
            <w:r>
              <w:rPr>
                <w:b/>
                <w:bCs/>
              </w:rPr>
              <w:t>11-O-10757; 11-O-11924;</w:t>
            </w:r>
          </w:p>
          <w:p>
            <w:pPr>
              <w:rPr>
                <w:b/>
                <w:bCs/>
              </w:rPr>
            </w:pPr>
            <w:r>
              <w:rPr>
                <w:b/>
                <w:bCs/>
              </w:rPr>
              <w:t>11-O-12454; 11-O-15142) - 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rPr>
          <w:b/>
        </w:rPr>
        <w:tab/>
      </w:r>
      <w:r>
        <w:t>Respondent Peter Jason Cabbiness (respondent) was charged with 20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9, 1996, and has been a member since then.</w:t>
      </w:r>
    </w:p>
    <w:p>
      <w:pPr>
        <w:spacing w:line="480" w:lineRule="auto"/>
        <w:rPr>
          <w:b/>
        </w:rPr>
      </w:pPr>
      <w:r>
        <w:rPr>
          <w:b/>
        </w:rPr>
        <w:t>Procedural Requirements Have Been Satisfied</w:t>
      </w:r>
    </w:p>
    <w:p>
      <w:pPr>
        <w:spacing w:line="480" w:lineRule="auto"/>
      </w:pPr>
      <w:r>
        <w:rPr>
          <w:b/>
        </w:rPr>
        <w:tab/>
      </w:r>
      <w:r>
        <w:t xml:space="preserve">Respondent had actual notice of this disciplinary proceeding.  In late July 2011, respondent contacted the assigned State Bar investigator by telephone and, among other things, expressed his desire to participate in the State Bar matters; gave a telephone number at which he could be reached; was given the name of the assigned deputy trial counsel (DTC); and stated that he is unable to receive mail at his membership records address but could receive mail at a specified Fresno address.  Respondent also contacted the assigned DTC by email, and on August 12, 2011, respondent and the assigned DTC discussed the pending matters against him by telephone.           </w:t>
      </w:r>
    </w:p>
    <w:p>
      <w:pPr>
        <w:spacing w:line="480" w:lineRule="auto"/>
      </w:pPr>
      <w:r>
        <w:tab/>
        <w:t xml:space="preserve">On August 29, 2011, the State Bar filed and properly served the NDC on respondent by regular and certified mail, return receipt requested, at his membership records address and by regular mail to the address in Fresno.  The NDC sent by certified mail was returned to the State Bar by the U.S. Postal Service because it was undeliverable as addressed and unable to be forwarded.  The NDC sent to the Fresno address was not returned by the U.S. Postal Service.  </w:t>
      </w:r>
      <w:r>
        <w:lastRenderedPageBreak/>
        <w:t xml:space="preserve">The NDC notified respondent that his failure to participate in the proceeding would result in a disbarment recommendation.  (Rule 5.41.)  </w:t>
      </w:r>
    </w:p>
    <w:p>
      <w:pPr>
        <w:spacing w:line="480" w:lineRule="auto"/>
        <w:ind w:firstLine="720"/>
      </w:pPr>
      <w:r>
        <w:t>Respondent failed to file a response to the NDC.  On September 29, 2011, the State Bar filed and properly served a motion for entry of respondent’s default.  The motion complied with all the requirements for a default, including a supporting declaration of reasonable diligence by the State Bar DTC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October 17,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April 18, 2012, the State Bar filed the petition for disbarment.  As required by rule 5.85(A), the State Bar reported in the petition that:  (1) the State Bar has not had any contact with respondent since his default was entered; (2) there are 12 additional pending disciplinary matters involving respondent; (3) respondent has a prior record of discipline; and (4) the Client Security Fund has seven pending matters resulting from respondent’s conduct.  Respondent did not respond to the petition for disbarment or move to set aside or vacate the default.  The case was submitted for decision on May 15, 2012.  </w:t>
      </w:r>
    </w:p>
    <w:p>
      <w:pPr>
        <w:spacing w:line="480" w:lineRule="auto"/>
      </w:pPr>
      <w:r>
        <w:tab/>
        <w:t>Respondent has a prior record of discipline.</w:t>
      </w:r>
      <w:r>
        <w:rPr>
          <w:rStyle w:val="FootnoteReference"/>
        </w:rPr>
        <w:footnoteReference w:id="4"/>
      </w:r>
      <w:r>
        <w:t xml:space="preserve">  Pursuant to a Supreme Court order filed on December 10, 2010, respondent was suspended for two years, the execution of which was stayed, and he was placed on probation for three years subject to conditions including that he be suspended from the practice of law for a minimum of the first six months of probation and until he makes specified restitution.  Respondent was disciplined for failing to perform competently, failing to keep a client reasonably informed of significant developments in the client’s legal matter, failing to refund promptly unearned fees/costs, failing to release/return promptly all client papers and property, failing to respond to reasonable status inquiries, failing to support the laws of the State of California by holding himself out as entitled to practice law and actually practicing law when he was not an active member, and entering into a business transaction with his client without complying with the requirements of rule 3-300 of the Rules of Professional Conduct.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 subd. (E)(1)(d).) </w:t>
      </w:r>
    </w:p>
    <w:p>
      <w:pPr>
        <w:spacing w:line="480" w:lineRule="auto"/>
        <w:rPr>
          <w:b/>
        </w:rPr>
      </w:pPr>
      <w:r>
        <w:rPr>
          <w:b/>
        </w:rPr>
        <w:tab/>
        <w:t>1.</w:t>
      </w:r>
      <w:r>
        <w:rPr>
          <w:b/>
        </w:rPr>
        <w:tab/>
        <w:t>Case Number 10-O-10876 (UPL Matter)</w:t>
      </w:r>
    </w:p>
    <w:p>
      <w:pPr>
        <w:spacing w:line="480" w:lineRule="auto"/>
      </w:pPr>
      <w:r>
        <w:rPr>
          <w:b/>
        </w:rPr>
        <w:tab/>
      </w:r>
      <w:r>
        <w:t xml:space="preserve">Count One(A) – the court does not find respondent culpable of willfully violating section 6068, subdivision (a) (attorney’s duty to support Constitution and laws of United States and California) as there is no clear and convincing evidence that respondent held himself out as entitled to practice law when he was not entitled to do so in violation of sections 6125 and 6126. </w:t>
      </w:r>
    </w:p>
    <w:p>
      <w:pPr>
        <w:spacing w:line="480" w:lineRule="auto"/>
      </w:pPr>
      <w:r>
        <w:tab/>
        <w:t>Count One(B) – respondent willfully violated section 6068, subdivision (i) (failing to cooperate/participate in a disciplinary investigation) by not providing a written response to the investigator’s letters or otherwise participating in the disciplinary investigation.</w:t>
      </w:r>
    </w:p>
    <w:p>
      <w:pPr>
        <w:spacing w:line="480" w:lineRule="auto"/>
        <w:rPr>
          <w:b/>
        </w:rPr>
      </w:pPr>
      <w:r>
        <w:tab/>
      </w:r>
      <w:r>
        <w:rPr>
          <w:b/>
        </w:rPr>
        <w:t>2.</w:t>
      </w:r>
      <w:r>
        <w:rPr>
          <w:b/>
        </w:rPr>
        <w:tab/>
        <w:t>Case Number 10-O-10877 (Sanctions Matter)</w:t>
      </w:r>
    </w:p>
    <w:p>
      <w:pPr>
        <w:spacing w:line="480" w:lineRule="auto"/>
      </w:pPr>
      <w:r>
        <w:rPr>
          <w:b/>
        </w:rPr>
        <w:tab/>
      </w:r>
      <w:r>
        <w:t xml:space="preserve">Count Two(A) – respondent willfully violated section 6103 (violation of court order) by failing to pay court ordered sanctions in three separate matters totaling $1,250 to the United States District Court, Eastern District of California. </w:t>
      </w:r>
    </w:p>
    <w:p>
      <w:pPr>
        <w:spacing w:line="480" w:lineRule="auto"/>
      </w:pPr>
      <w:r>
        <w:t xml:space="preserve">  </w:t>
      </w:r>
      <w:r>
        <w:tab/>
        <w:t xml:space="preserve">Count Two(B) – respondent willfully violated section 6068, subdivision (i) by not providing a written response to the investigator’s letters or otherwise participating in the disciplinary investigation. </w:t>
      </w:r>
    </w:p>
    <w:p>
      <w:pPr>
        <w:spacing w:line="480" w:lineRule="auto"/>
        <w:rPr>
          <w:b/>
        </w:rPr>
      </w:pPr>
      <w:r>
        <w:tab/>
      </w:r>
      <w:r>
        <w:rPr>
          <w:b/>
        </w:rPr>
        <w:t>3.</w:t>
      </w:r>
      <w:r>
        <w:rPr>
          <w:b/>
        </w:rPr>
        <w:tab/>
        <w:t>Case Number 11-O-10757 (Khan Matter)</w:t>
      </w:r>
    </w:p>
    <w:p>
      <w:pPr>
        <w:spacing w:line="480" w:lineRule="auto"/>
      </w:pPr>
      <w:r>
        <w:rPr>
          <w:b/>
        </w:rPr>
        <w:tab/>
      </w:r>
      <w:r>
        <w:t xml:space="preserve">Count Three(A) – respondent willfully violated rule 3-110(A) of the Rules of Professional Conduct (failing to perform legal services with competence) by failing to respond to discovery, failing to serve any discovery requests on any of the defendants on behalf of his client, and by failing to inform opposing counsel and the court of his ineligibility to practice law. </w:t>
      </w:r>
    </w:p>
    <w:p>
      <w:pPr>
        <w:spacing w:line="480" w:lineRule="auto"/>
      </w:pPr>
      <w:r>
        <w:tab/>
        <w:t xml:space="preserve">Count Three(B) – respondent willfully violated section 6068, subdivision (m) (failing to inform of significant developments) by not:  (1) informing his client that he had dismissed her complaint against two defendants; (2) informing his client of opposing counsel’s discovery requests; and (3) promptly informing his client of his ineligibility to practice law.   </w:t>
      </w:r>
    </w:p>
    <w:p>
      <w:pPr>
        <w:spacing w:line="480" w:lineRule="auto"/>
      </w:pPr>
      <w:r>
        <w:tab/>
        <w:t xml:space="preserve">Count Three(C) – respondent willfully violated rule 3-700(A)(2) of the Rules of Professional Conduct (improper withdrawal from employment) by not giving his client notice that he was terminating his employment with the client. </w:t>
      </w:r>
    </w:p>
    <w:p>
      <w:pPr>
        <w:spacing w:line="480" w:lineRule="auto"/>
      </w:pPr>
      <w:r>
        <w:tab/>
        <w:t xml:space="preserve">Count Three(D) – the court does not find respondent culpable of willfully violating section 6068, subdivision (a) as there is no clear and convincing evidence that respondent held himself out as entitled to practice law when he was not entitled to do so in violation of sections 6125 and 6126. </w:t>
      </w:r>
    </w:p>
    <w:p>
      <w:pPr>
        <w:spacing w:line="480" w:lineRule="auto"/>
      </w:pPr>
      <w:r>
        <w:t xml:space="preserve">  </w:t>
      </w:r>
      <w:r>
        <w:tab/>
        <w:t xml:space="preserve">Count Three(E) – respondent willfully violated section 6068, subdivision (i) by not providing a written response to the investigator’s letters or otherwise participating in the disciplinary investigation. </w:t>
      </w:r>
    </w:p>
    <w:p>
      <w:pPr>
        <w:spacing w:line="480" w:lineRule="auto"/>
        <w:rPr>
          <w:b/>
        </w:rPr>
      </w:pPr>
      <w:r>
        <w:tab/>
      </w:r>
      <w:r>
        <w:rPr>
          <w:b/>
        </w:rPr>
        <w:t>4.</w:t>
      </w:r>
      <w:r>
        <w:rPr>
          <w:b/>
        </w:rPr>
        <w:tab/>
        <w:t>Case Number 11-O-11924 (Carrillo Matter)</w:t>
      </w:r>
    </w:p>
    <w:p>
      <w:pPr>
        <w:spacing w:line="480" w:lineRule="auto"/>
      </w:pPr>
      <w:r>
        <w:rPr>
          <w:b/>
        </w:rPr>
        <w:tab/>
      </w:r>
      <w:r>
        <w:t>Count Four(A) – the court does not find respondent culpable of willfully violating rule</w:t>
      </w:r>
    </w:p>
    <w:p>
      <w:pPr>
        <w:spacing w:line="480" w:lineRule="auto"/>
      </w:pPr>
      <w:r>
        <w:t xml:space="preserve">3-110(A) of the Rules of Professional Conduct as there is no clear and convincing evidence that respondent recklessly, repeatedly or intentionally failed to perform legal service with competence.  </w:t>
      </w:r>
    </w:p>
    <w:p>
      <w:pPr>
        <w:spacing w:line="480" w:lineRule="auto"/>
      </w:pPr>
      <w:r>
        <w:tab/>
        <w:t xml:space="preserve">Count Four(B) – respondent willfully violated section 6068, subdivision (m) by failing to notify his client that he was ineligible to practice law during periods when he remained the attorney of record for the client in a pending matter.       </w:t>
      </w:r>
    </w:p>
    <w:p>
      <w:pPr>
        <w:spacing w:line="480" w:lineRule="auto"/>
      </w:pPr>
      <w:r>
        <w:tab/>
        <w:t>Count Four(C) – the court does not find respondent culpable of willfully violating rule</w:t>
      </w:r>
    </w:p>
    <w:p>
      <w:pPr>
        <w:spacing w:line="480" w:lineRule="auto"/>
      </w:pPr>
      <w:r>
        <w:t xml:space="preserve">3-700(A)(2) of the Rules of Professional Conduct, as there is no clear and convincing evidence that respondent withdrew from employment.  Rather, from September 1-14, 2010, and as of October 25, 2010, respondent was not eligible to practice law.   </w:t>
      </w:r>
    </w:p>
    <w:p>
      <w:pPr>
        <w:spacing w:line="480" w:lineRule="auto"/>
      </w:pPr>
      <w:r>
        <w:tab/>
        <w:t xml:space="preserve">Count Four(D) – respondent willfully violated section 6068, subdivision (a) by failing to notify his client and the superior court of his inactive status, thereby holding himself out to the court and his client as entitled to practice law when he was not an active member of the State Bar in violation of sections 6125 and 6126.  </w:t>
      </w:r>
    </w:p>
    <w:p>
      <w:pPr>
        <w:spacing w:line="480" w:lineRule="auto"/>
      </w:pPr>
      <w:r>
        <w:tab/>
        <w:t xml:space="preserve">Count Four(E) – respondent willfully violated section 6068, subdivision (i) by not providing a written response to the investigator’s letter or otherwise participating in the disciplinary investigation. </w:t>
      </w:r>
    </w:p>
    <w:p>
      <w:pPr>
        <w:spacing w:line="480" w:lineRule="auto"/>
        <w:rPr>
          <w:b/>
        </w:rPr>
      </w:pPr>
      <w:r>
        <w:tab/>
      </w:r>
      <w:r>
        <w:rPr>
          <w:b/>
        </w:rPr>
        <w:t>5.</w:t>
      </w:r>
      <w:r>
        <w:rPr>
          <w:b/>
        </w:rPr>
        <w:tab/>
        <w:t>Case Number 11-O-12454 (Bains Matter)</w:t>
      </w:r>
    </w:p>
    <w:p>
      <w:pPr>
        <w:spacing w:line="480" w:lineRule="auto"/>
      </w:pPr>
      <w:r>
        <w:rPr>
          <w:b/>
        </w:rPr>
        <w:tab/>
      </w:r>
      <w:r>
        <w:t>Count Five(A) – the court does not find respondent culpable of willfully violating rule</w:t>
      </w:r>
    </w:p>
    <w:p>
      <w:pPr>
        <w:spacing w:line="480" w:lineRule="auto"/>
      </w:pPr>
      <w:r>
        <w:t>3-700(A)(2) of the Rules of Professional Conduct, as there is no clear and convincing evidence that respondent withdrew from employment.  Rather, as of October 25, 2010, respondent was not eligible to practice law.</w:t>
      </w:r>
    </w:p>
    <w:p>
      <w:pPr>
        <w:spacing w:line="480" w:lineRule="auto"/>
      </w:pPr>
      <w:r>
        <w:tab/>
        <w:t xml:space="preserve">Count Five(B) – respondent willfully violated rule 3-700(D)(2) of the Rules of Professional Conduct (failing to promptly refund unearned fees) by failing to promptly return any portion of the $2,200 paid in advance that was not earned.   </w:t>
      </w:r>
    </w:p>
    <w:p>
      <w:pPr>
        <w:spacing w:line="480" w:lineRule="auto"/>
      </w:pPr>
      <w:r>
        <w:tab/>
        <w:t xml:space="preserve">Count Five(C) – respondent willfully violated section 6068, subdivision (m) by not informing his client of his pending suspension from the practice of law. </w:t>
      </w:r>
    </w:p>
    <w:p>
      <w:pPr>
        <w:spacing w:line="480" w:lineRule="auto"/>
      </w:pPr>
      <w:r>
        <w:tab/>
        <w:t xml:space="preserve">Count Five(D) – respondent willfully violated rule 4-200(A) of the Rules of Professional Conduct (illegal fee) by collecting a $200 advanced attorney fee from his client when respondent was not an active member of the State Bar.  </w:t>
      </w:r>
    </w:p>
    <w:p>
      <w:pPr>
        <w:spacing w:line="480" w:lineRule="auto"/>
      </w:pPr>
      <w:r>
        <w:tab/>
        <w:t xml:space="preserve">Count Five(E) – respondent willfully violated section 6068, subdivision (i) by not providing a written response to the investigator’s letter or otherwise participating in the disciplinary investigation. </w:t>
      </w:r>
    </w:p>
    <w:p>
      <w:pPr>
        <w:spacing w:line="480" w:lineRule="auto"/>
        <w:rPr>
          <w:b/>
        </w:rPr>
      </w:pPr>
      <w:r>
        <w:tab/>
      </w:r>
      <w:r>
        <w:rPr>
          <w:b/>
        </w:rPr>
        <w:t>6.</w:t>
      </w:r>
      <w:r>
        <w:rPr>
          <w:b/>
        </w:rPr>
        <w:tab/>
        <w:t xml:space="preserve">Case Number 11-O-15142 (Probation Conditions Matter)     </w:t>
      </w:r>
    </w:p>
    <w:p>
      <w:pPr>
        <w:spacing w:line="480" w:lineRule="auto"/>
      </w:pPr>
      <w:r>
        <w:rPr>
          <w:b/>
        </w:rPr>
        <w:tab/>
      </w:r>
      <w:r>
        <w:t xml:space="preserve">Count Six – respondent willfully violated section 6068, subdivision (k) (duty to comply with probation conditions) by failing to comply with specified conditions (quarterly reporting and fee arbitration) attached to a disciplinary probation.    </w:t>
      </w:r>
    </w:p>
    <w:p>
      <w:pPr>
        <w:rPr>
          <w:b/>
        </w:rPr>
      </w:pPr>
      <w:r>
        <w:rPr>
          <w:b/>
        </w:rPr>
        <w:t>/ / /</w:t>
      </w:r>
      <w:r>
        <w:rPr>
          <w:b/>
        </w:rPr>
        <w:br w:type="page"/>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rPr>
          <w:b/>
        </w:rPr>
      </w:pPr>
      <w:r>
        <w:tab/>
        <w:t>(1) the NDC was properly served on respondent under rule 5.25;</w:t>
      </w:r>
      <w:r>
        <w:rPr>
          <w:b/>
        </w:rPr>
        <w:t xml:space="preserve"> </w:t>
      </w:r>
    </w:p>
    <w:p>
      <w:pPr>
        <w:spacing w:line="480" w:lineRule="auto"/>
        <w:rPr>
          <w:b/>
        </w:rPr>
      </w:pPr>
      <w:r>
        <w:rPr>
          <w:b/>
        </w:rPr>
        <w:tab/>
      </w:r>
      <w:r>
        <w:t xml:space="preserve">(2) respondent had actual notice of this disciplinary proceeding, as respondent contacted the assigned State Bar investigator and DTC; respondent and the DTC discussed the pending matters against him; and the State Bar filed and properly served the NDC on respondent at his membership records address and an alternate address;  </w:t>
      </w:r>
    </w:p>
    <w:p>
      <w:pPr>
        <w:spacing w:line="480" w:lineRule="auto"/>
        <w:ind w:firstLine="720"/>
      </w:pP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Peter Jason Cabbiness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 following payees:</w:t>
      </w:r>
      <w:r>
        <w:rPr>
          <w:rStyle w:val="FootnoteReference"/>
        </w:rPr>
        <w:footnoteReference w:id="5"/>
      </w:r>
      <w:r>
        <w:t xml:space="preserve">  </w:t>
      </w:r>
    </w:p>
    <w:p>
      <w:pPr>
        <w:spacing w:line="480" w:lineRule="auto"/>
      </w:pPr>
      <w:r>
        <w:rPr>
          <w:b/>
        </w:rPr>
        <w:tab/>
      </w:r>
      <w:r>
        <w:t>(1)  United States District Court, Eastern District of California, in the amount of $1,250;</w:t>
      </w:r>
      <w:r>
        <w:rPr>
          <w:rStyle w:val="FootnoteReference"/>
        </w:rPr>
        <w:footnoteReference w:id="6"/>
      </w:r>
      <w:r>
        <w:t xml:space="preserve"> and </w:t>
      </w:r>
    </w:p>
    <w:p>
      <w:pPr>
        <w:spacing w:line="480" w:lineRule="auto"/>
      </w:pPr>
      <w:r>
        <w:rPr>
          <w:b/>
        </w:rPr>
        <w:tab/>
      </w:r>
      <w:r>
        <w:t xml:space="preserve">(2)  Talwinder Bains in the amount of $2,200 plus 10 percent interest per year from </w:t>
      </w:r>
      <w:r>
        <w:tab/>
        <w:t xml:space="preserve">  </w:t>
      </w:r>
      <w:r>
        <w:tab/>
        <w:t xml:space="preserve">       September 21, 2010.</w:t>
      </w:r>
    </w:p>
    <w:p>
      <w:pPr>
        <w:spacing w:line="480" w:lineRule="auto"/>
      </w:pPr>
      <w:r>
        <w:tab/>
        <w:t xml:space="preserve">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Peter Jason Cabbiness, State Bar number 185376, be involuntarily enrolled as </w:t>
      </w:r>
    </w:p>
    <w:p>
      <w:r>
        <w:t>/ / /</w:t>
      </w:r>
    </w:p>
    <w:p/>
    <w:p>
      <w:r>
        <w:t>/ / /</w:t>
      </w:r>
    </w:p>
    <w:p/>
    <w:p>
      <w:r>
        <w:t>/ / /</w:t>
      </w:r>
    </w:p>
    <w:p/>
    <w:p>
      <w:r>
        <w:t>/ / /</w:t>
      </w:r>
    </w:p>
    <w:p/>
    <w:p>
      <w:r>
        <w:t>/ / /</w:t>
      </w:r>
    </w:p>
    <w:p>
      <w:pPr>
        <w:spacing w:line="480" w:lineRule="auto"/>
      </w:pPr>
      <w:r>
        <w:t>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August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 w:id="5">
    <w:p>
      <w:pPr>
        <w:pStyle w:val="FootnoteText"/>
      </w:pPr>
      <w:r>
        <w:rPr>
          <w:rStyle w:val="FootnoteReference"/>
        </w:rPr>
        <w:footnoteRef/>
      </w:r>
      <w:r>
        <w:t xml:space="preserve"> There is no clear and convincing evidence that any further money is owed to other individuals or entities.  </w:t>
      </w:r>
    </w:p>
  </w:footnote>
  <w:footnote w:id="6">
    <w:p>
      <w:pPr>
        <w:pStyle w:val="FootnoteText"/>
      </w:pPr>
      <w:r>
        <w:rPr>
          <w:rStyle w:val="FootnoteReference"/>
        </w:rPr>
        <w:footnoteRef/>
      </w:r>
      <w:r>
        <w:t xml:space="preserve"> This figure represents the total sanctions ordered against respondent in three separate matters (Count Two(A)).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xbxu9VYVirTXFVS26UcMqUBw0oo=" w:salt="6jmlmOBBGlXnueDB33BZgw=="/>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2306</Words>
  <Characters>12454</Characters>
  <Application>Microsoft Office Word</Application>
  <DocSecurity>0</DocSecurity>
  <Lines>244</Lines>
  <Paragraphs>111</Paragraphs>
  <ScaleCrop>false</ScaleCrop>
  <Manager/>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2012-08-08T20:06:00Z</dcterms:created>
  <dcterms:modified xsi:type="dcterms:W3CDTF">2012-08-08T20:06:00Z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