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7C2" w:rsidRPr="008C59DD" w:rsidRDefault="008C59DD" w:rsidP="008C59DD">
      <w:pPr>
        <w:spacing w:line="235" w:lineRule="exact"/>
        <w:jc w:val="right"/>
        <w:rPr>
          <w:b/>
          <w:sz w:val="36"/>
        </w:rPr>
      </w:pPr>
      <w:bookmarkStart w:id="0" w:name="QuickMark"/>
      <w:bookmarkEnd w:id="0"/>
      <w:r w:rsidRPr="008C59DD">
        <w:rPr>
          <w:b/>
        </w:rPr>
        <w:t>FILED MAY 6, 2010</w:t>
      </w:r>
    </w:p>
    <w:p w:rsidR="00F077C2" w:rsidRDefault="00F077C2">
      <w:pPr>
        <w:spacing w:line="235" w:lineRule="exact"/>
      </w:pPr>
    </w:p>
    <w:p w:rsidR="00F077C2" w:rsidRDefault="00F077C2">
      <w:pPr>
        <w:spacing w:line="235" w:lineRule="exact"/>
      </w:pPr>
    </w:p>
    <w:p w:rsidR="00F077C2" w:rsidRDefault="00F077C2">
      <w:pPr>
        <w:spacing w:line="235" w:lineRule="exact"/>
      </w:pPr>
    </w:p>
    <w:p w:rsidR="00F077C2" w:rsidRDefault="00F077C2">
      <w:pPr>
        <w:spacing w:line="235" w:lineRule="exact"/>
      </w:pPr>
    </w:p>
    <w:p w:rsidR="00F077C2" w:rsidRDefault="00F077C2">
      <w:pPr>
        <w:spacing w:line="235" w:lineRule="exact"/>
      </w:pPr>
    </w:p>
    <w:p w:rsidR="00F077C2" w:rsidRDefault="00F077C2">
      <w:pPr>
        <w:tabs>
          <w:tab w:val="center" w:pos="4680"/>
        </w:tabs>
        <w:spacing w:line="235" w:lineRule="exact"/>
        <w:rPr>
          <w:b/>
          <w:bCs/>
        </w:rPr>
      </w:pPr>
      <w:r>
        <w:tab/>
      </w:r>
      <w:r>
        <w:rPr>
          <w:b/>
          <w:bCs/>
        </w:rPr>
        <w:t>STATE BAR COURT OF CALIFORNIA</w:t>
      </w:r>
    </w:p>
    <w:p w:rsidR="00F077C2" w:rsidRDefault="00F077C2">
      <w:pPr>
        <w:spacing w:line="235" w:lineRule="exact"/>
        <w:rPr>
          <w:b/>
          <w:bCs/>
        </w:rPr>
      </w:pPr>
    </w:p>
    <w:p w:rsidR="00F077C2" w:rsidRDefault="00F077C2">
      <w:pPr>
        <w:tabs>
          <w:tab w:val="center" w:pos="4680"/>
        </w:tabs>
        <w:spacing w:line="235" w:lineRule="exact"/>
      </w:pPr>
      <w:r>
        <w:rPr>
          <w:b/>
          <w:bCs/>
        </w:rPr>
        <w:tab/>
        <w:t xml:space="preserve">HEARING DEPARTMENT - </w:t>
      </w:r>
      <w:bookmarkStart w:id="1" w:name="Venue"/>
      <w:bookmarkEnd w:id="1"/>
      <w:r>
        <w:rPr>
          <w:b/>
          <w:bCs/>
        </w:rPr>
        <w:t>LOS ANGELES</w:t>
      </w:r>
    </w:p>
    <w:p w:rsidR="00F077C2" w:rsidRDefault="00F077C2">
      <w:pPr>
        <w:spacing w:line="235" w:lineRule="exact"/>
      </w:pPr>
    </w:p>
    <w:p w:rsidR="00F077C2" w:rsidRDefault="00F077C2">
      <w:pPr>
        <w:spacing w:line="235" w:lineRule="exact"/>
      </w:pPr>
    </w:p>
    <w:p w:rsidR="00F077C2" w:rsidRDefault="00F077C2">
      <w:pPr>
        <w:spacing w:line="235" w:lineRule="exact"/>
      </w:pPr>
    </w:p>
    <w:p w:rsidR="00F077C2" w:rsidRDefault="00F077C2">
      <w:pPr>
        <w:spacing w:line="235" w:lineRule="exact"/>
      </w:pPr>
    </w:p>
    <w:p w:rsidR="00F077C2" w:rsidRDefault="00F077C2">
      <w:pPr>
        <w:spacing w:line="62" w:lineRule="exact"/>
      </w:pPr>
    </w:p>
    <w:p w:rsidR="00F077C2" w:rsidRDefault="00F077C2">
      <w:pPr>
        <w:spacing w:line="235" w:lineRule="exact"/>
      </w:pPr>
    </w:p>
    <w:tbl>
      <w:tblPr>
        <w:tblW w:w="0" w:type="auto"/>
        <w:jc w:val="center"/>
        <w:tblLayout w:type="fixed"/>
        <w:tblCellMar>
          <w:left w:w="0" w:type="dxa"/>
          <w:right w:w="0" w:type="dxa"/>
        </w:tblCellMar>
        <w:tblLook w:val="0000"/>
      </w:tblPr>
      <w:tblGrid>
        <w:gridCol w:w="4140"/>
        <w:gridCol w:w="540"/>
        <w:gridCol w:w="990"/>
        <w:gridCol w:w="3690"/>
      </w:tblGrid>
      <w:tr w:rsidR="00F077C2" w:rsidTr="003B723D">
        <w:trPr>
          <w:trHeight w:hRule="exact" w:val="244"/>
          <w:jc w:val="center"/>
        </w:trPr>
        <w:tc>
          <w:tcPr>
            <w:tcW w:w="4140" w:type="dxa"/>
            <w:vMerge w:val="restart"/>
          </w:tcPr>
          <w:p w:rsidR="00F077C2" w:rsidRDefault="00F077C2">
            <w:pPr>
              <w:spacing w:line="235" w:lineRule="exact"/>
            </w:pPr>
            <w:r>
              <w:t>In the Matter of</w:t>
            </w:r>
          </w:p>
          <w:p w:rsidR="00F077C2" w:rsidRDefault="00F077C2">
            <w:pPr>
              <w:spacing w:line="235" w:lineRule="exact"/>
            </w:pPr>
          </w:p>
          <w:p w:rsidR="00F077C2" w:rsidRDefault="008C0839">
            <w:pPr>
              <w:spacing w:line="235" w:lineRule="exact"/>
            </w:pPr>
            <w:bookmarkStart w:id="2" w:name="Respondent"/>
            <w:bookmarkEnd w:id="2"/>
            <w:r>
              <w:rPr>
                <w:b/>
                <w:bCs/>
              </w:rPr>
              <w:t xml:space="preserve">GARY P. </w:t>
            </w:r>
            <w:proofErr w:type="spellStart"/>
            <w:r>
              <w:rPr>
                <w:b/>
                <w:bCs/>
              </w:rPr>
              <w:t>ROYLE</w:t>
            </w:r>
            <w:proofErr w:type="spellEnd"/>
            <w:r w:rsidR="00F077C2">
              <w:t>,</w:t>
            </w:r>
          </w:p>
          <w:p w:rsidR="00F077C2" w:rsidRDefault="00F077C2">
            <w:pPr>
              <w:spacing w:line="235" w:lineRule="exact"/>
            </w:pPr>
          </w:p>
          <w:p w:rsidR="00F077C2" w:rsidRDefault="00F077C2">
            <w:pPr>
              <w:spacing w:line="235" w:lineRule="exact"/>
            </w:pPr>
            <w:bookmarkStart w:id="3" w:name="Type"/>
            <w:bookmarkEnd w:id="3"/>
            <w:r>
              <w:rPr>
                <w:b/>
                <w:bCs/>
              </w:rPr>
              <w:t xml:space="preserve">Member No. </w:t>
            </w:r>
            <w:r w:rsidR="008C0839">
              <w:rPr>
                <w:b/>
                <w:bCs/>
              </w:rPr>
              <w:t>212199</w:t>
            </w:r>
            <w:r>
              <w:t>,</w:t>
            </w:r>
          </w:p>
          <w:p w:rsidR="00F077C2" w:rsidRDefault="00F077C2">
            <w:pPr>
              <w:spacing w:line="235" w:lineRule="exact"/>
            </w:pPr>
          </w:p>
          <w:p w:rsidR="003B723D" w:rsidRPr="003B723D" w:rsidRDefault="00F077C2">
            <w:pPr>
              <w:spacing w:line="235" w:lineRule="exact"/>
              <w:rPr>
                <w:u w:val="single"/>
              </w:rPr>
            </w:pPr>
            <w:r w:rsidRPr="003B723D">
              <w:rPr>
                <w:u w:val="single"/>
              </w:rPr>
              <w:t>A Member of the State Bar.</w:t>
            </w:r>
            <w:r w:rsidR="003B723D" w:rsidRPr="003B723D">
              <w:rPr>
                <w:u w:val="single"/>
              </w:rPr>
              <w:t xml:space="preserve">               </w:t>
            </w:r>
          </w:p>
          <w:p w:rsidR="003B723D" w:rsidRDefault="003B723D">
            <w:pPr>
              <w:spacing w:line="235" w:lineRule="exact"/>
            </w:pPr>
            <w:r>
              <w:t>___________________________________</w:t>
            </w:r>
          </w:p>
        </w:tc>
        <w:tc>
          <w:tcPr>
            <w:tcW w:w="540" w:type="dxa"/>
            <w:vMerge w:val="restart"/>
          </w:tcPr>
          <w:p w:rsidR="00F077C2" w:rsidRDefault="00F077C2">
            <w:pPr>
              <w:spacing w:line="235" w:lineRule="exact"/>
            </w:pPr>
            <w:r>
              <w:t>)</w:t>
            </w:r>
          </w:p>
          <w:p w:rsidR="00F077C2" w:rsidRDefault="00F077C2">
            <w:pPr>
              <w:spacing w:line="235" w:lineRule="exact"/>
            </w:pPr>
            <w:r>
              <w:t>)</w:t>
            </w:r>
          </w:p>
          <w:p w:rsidR="00F077C2" w:rsidRDefault="00F077C2">
            <w:pPr>
              <w:spacing w:line="235" w:lineRule="exact"/>
            </w:pPr>
            <w:r>
              <w:t>)</w:t>
            </w:r>
          </w:p>
          <w:p w:rsidR="00F077C2" w:rsidRDefault="00F077C2">
            <w:pPr>
              <w:spacing w:line="235" w:lineRule="exact"/>
            </w:pPr>
            <w:r>
              <w:t>)</w:t>
            </w:r>
          </w:p>
          <w:p w:rsidR="00F077C2" w:rsidRDefault="00F077C2">
            <w:pPr>
              <w:spacing w:line="235" w:lineRule="exact"/>
            </w:pPr>
            <w:r>
              <w:t>)</w:t>
            </w:r>
          </w:p>
          <w:p w:rsidR="00F077C2" w:rsidRDefault="00F077C2">
            <w:pPr>
              <w:spacing w:line="235" w:lineRule="exact"/>
            </w:pPr>
            <w:r>
              <w:t>)</w:t>
            </w:r>
          </w:p>
          <w:p w:rsidR="00F077C2" w:rsidRDefault="00F077C2">
            <w:pPr>
              <w:spacing w:line="235" w:lineRule="exact"/>
            </w:pPr>
            <w:r>
              <w:t>)</w:t>
            </w:r>
          </w:p>
        </w:tc>
        <w:tc>
          <w:tcPr>
            <w:tcW w:w="990" w:type="dxa"/>
            <w:vMerge w:val="restart"/>
          </w:tcPr>
          <w:p w:rsidR="00F077C2" w:rsidRDefault="00F077C2">
            <w:pPr>
              <w:spacing w:line="235" w:lineRule="exact"/>
              <w:rPr>
                <w:b/>
                <w:bCs/>
              </w:rPr>
            </w:pPr>
            <w:r>
              <w:rPr>
                <w:b/>
                <w:bCs/>
              </w:rPr>
              <w:t xml:space="preserve">Case No. </w:t>
            </w:r>
          </w:p>
          <w:p w:rsidR="00F077C2" w:rsidRDefault="00F077C2">
            <w:pPr>
              <w:spacing w:line="235" w:lineRule="exact"/>
              <w:rPr>
                <w:b/>
                <w:bCs/>
              </w:rPr>
            </w:pPr>
          </w:p>
        </w:tc>
        <w:tc>
          <w:tcPr>
            <w:tcW w:w="3690" w:type="dxa"/>
            <w:vMerge w:val="restart"/>
          </w:tcPr>
          <w:p w:rsidR="00F077C2" w:rsidRDefault="008C0839">
            <w:pPr>
              <w:spacing w:line="235" w:lineRule="exact"/>
              <w:rPr>
                <w:b/>
                <w:bCs/>
              </w:rPr>
            </w:pPr>
            <w:bookmarkStart w:id="4" w:name="Case"/>
            <w:bookmarkEnd w:id="4"/>
            <w:r>
              <w:rPr>
                <w:b/>
                <w:bCs/>
              </w:rPr>
              <w:t>10-</w:t>
            </w:r>
            <w:proofErr w:type="spellStart"/>
            <w:r>
              <w:rPr>
                <w:b/>
                <w:bCs/>
              </w:rPr>
              <w:t>TR</w:t>
            </w:r>
            <w:proofErr w:type="spellEnd"/>
            <w:r>
              <w:rPr>
                <w:b/>
                <w:bCs/>
              </w:rPr>
              <w:t xml:space="preserve">-03802 </w:t>
            </w:r>
            <w:r w:rsidR="00F077C2">
              <w:rPr>
                <w:b/>
                <w:bCs/>
              </w:rPr>
              <w:t>– RAH</w:t>
            </w:r>
          </w:p>
        </w:tc>
      </w:tr>
      <w:tr w:rsidR="00F077C2" w:rsidTr="003B723D">
        <w:trPr>
          <w:trHeight w:hRule="exact" w:val="270"/>
          <w:jc w:val="center"/>
        </w:trPr>
        <w:tc>
          <w:tcPr>
            <w:tcW w:w="4140" w:type="dxa"/>
            <w:vMerge/>
          </w:tcPr>
          <w:p w:rsidR="00F077C2" w:rsidRDefault="00F077C2">
            <w:pPr>
              <w:spacing w:line="235" w:lineRule="exact"/>
            </w:pPr>
          </w:p>
        </w:tc>
        <w:tc>
          <w:tcPr>
            <w:tcW w:w="540" w:type="dxa"/>
            <w:vMerge/>
          </w:tcPr>
          <w:p w:rsidR="00F077C2" w:rsidRDefault="00F077C2">
            <w:pPr>
              <w:spacing w:line="235" w:lineRule="exact"/>
            </w:pPr>
          </w:p>
        </w:tc>
        <w:tc>
          <w:tcPr>
            <w:tcW w:w="990" w:type="dxa"/>
            <w:vMerge/>
          </w:tcPr>
          <w:p w:rsidR="00F077C2" w:rsidRDefault="00F077C2">
            <w:pPr>
              <w:spacing w:line="235" w:lineRule="exact"/>
              <w:rPr>
                <w:b/>
                <w:bCs/>
              </w:rPr>
            </w:pPr>
          </w:p>
        </w:tc>
        <w:tc>
          <w:tcPr>
            <w:tcW w:w="3690" w:type="dxa"/>
            <w:vMerge/>
          </w:tcPr>
          <w:p w:rsidR="00F077C2" w:rsidRDefault="00F077C2">
            <w:pPr>
              <w:spacing w:line="235" w:lineRule="exact"/>
              <w:rPr>
                <w:b/>
                <w:bCs/>
              </w:rPr>
            </w:pPr>
          </w:p>
        </w:tc>
      </w:tr>
      <w:tr w:rsidR="008C0839" w:rsidTr="003B723D">
        <w:trPr>
          <w:trHeight w:hRule="exact" w:val="1170"/>
          <w:jc w:val="center"/>
        </w:trPr>
        <w:tc>
          <w:tcPr>
            <w:tcW w:w="4140" w:type="dxa"/>
            <w:vMerge/>
          </w:tcPr>
          <w:p w:rsidR="00F077C2" w:rsidRDefault="00F077C2">
            <w:pPr>
              <w:spacing w:line="235" w:lineRule="exact"/>
            </w:pPr>
          </w:p>
        </w:tc>
        <w:tc>
          <w:tcPr>
            <w:tcW w:w="540" w:type="dxa"/>
            <w:vMerge/>
          </w:tcPr>
          <w:p w:rsidR="00F077C2" w:rsidRDefault="00F077C2">
            <w:pPr>
              <w:spacing w:line="235" w:lineRule="exact"/>
            </w:pPr>
          </w:p>
        </w:tc>
        <w:tc>
          <w:tcPr>
            <w:tcW w:w="990" w:type="dxa"/>
            <w:gridSpan w:val="2"/>
          </w:tcPr>
          <w:p w:rsidR="00F077C2" w:rsidRDefault="00F077C2">
            <w:pPr>
              <w:spacing w:line="235" w:lineRule="exact"/>
              <w:rPr>
                <w:b/>
                <w:bCs/>
              </w:rPr>
            </w:pPr>
            <w:bookmarkStart w:id="5" w:name="Document"/>
            <w:bookmarkEnd w:id="5"/>
            <w:r>
              <w:rPr>
                <w:b/>
                <w:bCs/>
              </w:rPr>
              <w:t>ORDER GRANTING MOTION FOR INVOLUNTARY INACTIVE ENROLLMENT</w:t>
            </w:r>
          </w:p>
        </w:tc>
      </w:tr>
      <w:tr w:rsidR="008C0839" w:rsidTr="003B723D">
        <w:trPr>
          <w:jc w:val="center"/>
        </w:trPr>
        <w:tc>
          <w:tcPr>
            <w:tcW w:w="4140" w:type="dxa"/>
          </w:tcPr>
          <w:p w:rsidR="00F077C2" w:rsidRDefault="00F077C2">
            <w:pPr>
              <w:spacing w:line="120" w:lineRule="exact"/>
              <w:rPr>
                <w:b/>
                <w:bCs/>
              </w:rPr>
            </w:pPr>
          </w:p>
          <w:p w:rsidR="00F077C2" w:rsidRDefault="00F077C2">
            <w:pPr>
              <w:spacing w:after="58" w:line="235" w:lineRule="exact"/>
            </w:pPr>
          </w:p>
        </w:tc>
        <w:tc>
          <w:tcPr>
            <w:tcW w:w="540" w:type="dxa"/>
          </w:tcPr>
          <w:p w:rsidR="00F077C2" w:rsidRDefault="00F077C2">
            <w:pPr>
              <w:spacing w:line="120" w:lineRule="exact"/>
            </w:pPr>
          </w:p>
          <w:p w:rsidR="00F077C2" w:rsidRDefault="00F077C2">
            <w:pPr>
              <w:spacing w:after="58" w:line="235" w:lineRule="exact"/>
            </w:pPr>
          </w:p>
        </w:tc>
        <w:tc>
          <w:tcPr>
            <w:tcW w:w="990" w:type="dxa"/>
            <w:gridSpan w:val="2"/>
          </w:tcPr>
          <w:p w:rsidR="00F077C2" w:rsidRDefault="00F077C2">
            <w:pPr>
              <w:spacing w:line="120" w:lineRule="exact"/>
            </w:pPr>
          </w:p>
          <w:p w:rsidR="00F077C2" w:rsidRDefault="00F077C2">
            <w:pPr>
              <w:spacing w:after="58" w:line="235" w:lineRule="exact"/>
            </w:pPr>
          </w:p>
        </w:tc>
      </w:tr>
    </w:tbl>
    <w:p w:rsidR="00F077C2" w:rsidRDefault="00F077C2">
      <w:pPr>
        <w:spacing w:line="235" w:lineRule="exact"/>
      </w:pPr>
    </w:p>
    <w:p w:rsidR="00F077C2" w:rsidRDefault="00F077C2">
      <w:pPr>
        <w:spacing w:line="470" w:lineRule="exact"/>
        <w:ind w:firstLine="720"/>
        <w:jc w:val="both"/>
      </w:pPr>
      <w:r>
        <w:t xml:space="preserve">On </w:t>
      </w:r>
      <w:r w:rsidR="008C0839">
        <w:t>April 15, 2010</w:t>
      </w:r>
      <w:r>
        <w:t xml:space="preserve">, the Office of the Chief Trial Counsel, by Trial Counsel </w:t>
      </w:r>
      <w:r w:rsidR="008C0839">
        <w:t>Brooke Schafer</w:t>
      </w:r>
      <w:r>
        <w:t xml:space="preserve">, filed a motion (“the motion”) seeking the involuntary inactive enrollment of respondent </w:t>
      </w:r>
      <w:r w:rsidR="008C0839">
        <w:t xml:space="preserve">Gary P. </w:t>
      </w:r>
      <w:proofErr w:type="spellStart"/>
      <w:r w:rsidR="008C0839">
        <w:t>Royle</w:t>
      </w:r>
      <w:proofErr w:type="spellEnd"/>
      <w:r>
        <w:t xml:space="preserve">.  No opposition was filed to the motion.  </w:t>
      </w:r>
    </w:p>
    <w:p w:rsidR="00F077C2" w:rsidRDefault="00F077C2">
      <w:pPr>
        <w:spacing w:line="470" w:lineRule="exact"/>
        <w:ind w:firstLine="720"/>
        <w:jc w:val="both"/>
      </w:pPr>
      <w:r>
        <w:t>The motion was made on the grounds set forth in Business and Professions Code section 6007(b</w:t>
      </w:r>
      <w:proofErr w:type="gramStart"/>
      <w:r>
        <w:t>)(</w:t>
      </w:r>
      <w:proofErr w:type="gramEnd"/>
      <w:r>
        <w:t xml:space="preserve">2); to wit, that the superior court has made an </w:t>
      </w:r>
      <w:r w:rsidR="009F06F7">
        <w:t xml:space="preserve">interim </w:t>
      </w:r>
      <w:r>
        <w:t xml:space="preserve">order assuming jurisdiction over respondent’s practice.  The motion duly set forth as exhibits the verified application for assumption of jurisdiction over respondent’s law practice, supported by declarations, and the order of the Los Angeles Superior Court dated </w:t>
      </w:r>
      <w:r w:rsidR="008C0839">
        <w:t xml:space="preserve">April 12, 2010 </w:t>
      </w:r>
      <w:r>
        <w:t xml:space="preserve">(“the superior court order”).  In the superior court order, the superior court made appropriate findings that </w:t>
      </w:r>
      <w:r w:rsidR="007C7CA7">
        <w:t xml:space="preserve">justified the court’s order assuming jurisdiction over the respondent’s practice.  </w:t>
      </w:r>
      <w:r>
        <w:t xml:space="preserve">Based on such findings, the superior court ordered the State Bar to take control of all of the client files, records, and property of respondent and made other orders necessary or appropriate to carry out the assumption of jurisdiction over respondent’s practice. </w:t>
      </w:r>
    </w:p>
    <w:p w:rsidR="00F077C2" w:rsidRDefault="00F077C2">
      <w:pPr>
        <w:spacing w:line="470" w:lineRule="exact"/>
        <w:ind w:firstLine="720"/>
        <w:jc w:val="both"/>
        <w:sectPr w:rsidR="00F077C2">
          <w:pgSz w:w="12240" w:h="15840"/>
          <w:pgMar w:top="1440" w:right="1440" w:bottom="720" w:left="1440" w:header="1440" w:footer="720" w:gutter="0"/>
          <w:cols w:space="720"/>
          <w:noEndnote/>
        </w:sectPr>
      </w:pPr>
    </w:p>
    <w:p w:rsidR="00F077C2" w:rsidRDefault="00F077C2">
      <w:pPr>
        <w:spacing w:line="470" w:lineRule="exact"/>
        <w:ind w:firstLine="720"/>
        <w:jc w:val="both"/>
      </w:pPr>
      <w:r>
        <w:lastRenderedPageBreak/>
        <w:t xml:space="preserve">Having reviewed the papers filed by the Office of the Chief Trial Counsel, and </w:t>
      </w:r>
      <w:r w:rsidR="008C0839">
        <w:rPr>
          <w:b/>
        </w:rPr>
        <w:t>GOOD CAUSE APPEARING THEREFOR</w:t>
      </w:r>
      <w:r>
        <w:t xml:space="preserve">, the Court </w:t>
      </w:r>
      <w:r>
        <w:rPr>
          <w:b/>
          <w:bCs/>
        </w:rPr>
        <w:t>GRANTS</w:t>
      </w:r>
      <w:r>
        <w:t xml:space="preserve"> the motion. The Court finds that there is clear and convincing evidence that the Los Angeles Superior Court has issued an order assuming jurisdiction over respondent’s law practice pursuant to Business and Professions Code </w:t>
      </w:r>
      <w:r>
        <w:lastRenderedPageBreak/>
        <w:t xml:space="preserve">section 6190.  The superior court order is still in effect and does not provide for any exceptions.  Under rule 412(a) of the Rules of Procedure of the State Bar, it is appropriate to enroll respondent as an inactive member without further notice or hearing.  </w:t>
      </w:r>
    </w:p>
    <w:p w:rsidR="00F077C2" w:rsidRDefault="00F077C2">
      <w:pPr>
        <w:spacing w:line="470" w:lineRule="exact"/>
        <w:ind w:firstLine="720"/>
        <w:jc w:val="both"/>
      </w:pPr>
      <w:r>
        <w:t xml:space="preserve">Accordingly, </w:t>
      </w:r>
      <w:r>
        <w:rPr>
          <w:b/>
          <w:bCs/>
        </w:rPr>
        <w:t>IT IS ORDERED</w:t>
      </w:r>
      <w:r>
        <w:t xml:space="preserve"> that, effective three days after service by mail of this order, respondent </w:t>
      </w:r>
      <w:r w:rsidR="008C0839">
        <w:t xml:space="preserve">GARY P. </w:t>
      </w:r>
      <w:proofErr w:type="spellStart"/>
      <w:r w:rsidR="008C0839">
        <w:t>ROYLE</w:t>
      </w:r>
      <w:proofErr w:type="spellEnd"/>
      <w:r>
        <w:t xml:space="preserve"> is ordered inactively enrolled as a member of the State Bar of California.  (Rule 414, Rules of Procedure of the State Bar of California.)  This order shall remain in effect until a petition allowing respondent to return to active status is granted by this court.</w:t>
      </w:r>
    </w:p>
    <w:p w:rsidR="00F077C2" w:rsidRDefault="00F077C2">
      <w:pPr>
        <w:spacing w:line="470" w:lineRule="exact"/>
        <w:jc w:val="both"/>
      </w:pPr>
    </w:p>
    <w:p w:rsidR="00F077C2" w:rsidRDefault="00F077C2">
      <w:pPr>
        <w:spacing w:line="470" w:lineRule="exact"/>
        <w:jc w:val="both"/>
      </w:pPr>
    </w:p>
    <w:p w:rsidR="00F077C2" w:rsidRDefault="00F077C2">
      <w:pPr>
        <w:spacing w:line="470" w:lineRule="exact"/>
        <w:jc w:val="both"/>
      </w:pPr>
    </w:p>
    <w:tbl>
      <w:tblPr>
        <w:tblW w:w="0" w:type="auto"/>
        <w:jc w:val="center"/>
        <w:tblLayout w:type="fixed"/>
        <w:tblCellMar>
          <w:left w:w="0" w:type="dxa"/>
          <w:right w:w="0" w:type="dxa"/>
        </w:tblCellMar>
        <w:tblLook w:val="0000"/>
      </w:tblPr>
      <w:tblGrid>
        <w:gridCol w:w="4758"/>
        <w:gridCol w:w="4602"/>
      </w:tblGrid>
      <w:tr w:rsidR="00F077C2">
        <w:trPr>
          <w:jc w:val="center"/>
        </w:trPr>
        <w:tc>
          <w:tcPr>
            <w:tcW w:w="4758" w:type="dxa"/>
            <w:tcBorders>
              <w:top w:val="single" w:sz="6" w:space="0" w:color="FFFFFF"/>
              <w:left w:val="single" w:sz="6" w:space="0" w:color="FFFFFF"/>
              <w:bottom w:val="single" w:sz="6" w:space="0" w:color="FFFFFF"/>
              <w:right w:val="single" w:sz="6" w:space="0" w:color="FFFFFF"/>
            </w:tcBorders>
          </w:tcPr>
          <w:p w:rsidR="00F077C2" w:rsidRDefault="00F077C2">
            <w:pPr>
              <w:spacing w:line="120" w:lineRule="exact"/>
            </w:pPr>
          </w:p>
          <w:p w:rsidR="00F077C2" w:rsidRDefault="00F077C2" w:rsidP="008C0839">
            <w:pPr>
              <w:spacing w:after="120" w:line="235" w:lineRule="exact"/>
            </w:pPr>
            <w:r>
              <w:t xml:space="preserve">Dated:  </w:t>
            </w:r>
            <w:bookmarkStart w:id="6" w:name="Date"/>
            <w:bookmarkEnd w:id="6"/>
            <w:r w:rsidR="008C0839">
              <w:t>May 6, 2010</w:t>
            </w:r>
          </w:p>
        </w:tc>
        <w:tc>
          <w:tcPr>
            <w:tcW w:w="4602" w:type="dxa"/>
            <w:tcBorders>
              <w:top w:val="single" w:sz="7" w:space="0" w:color="000000"/>
              <w:left w:val="single" w:sz="6" w:space="0" w:color="FFFFFF"/>
              <w:bottom w:val="single" w:sz="6" w:space="0" w:color="FFFFFF"/>
              <w:right w:val="single" w:sz="6" w:space="0" w:color="FFFFFF"/>
            </w:tcBorders>
          </w:tcPr>
          <w:p w:rsidR="00F077C2" w:rsidRDefault="00F077C2">
            <w:pPr>
              <w:spacing w:line="120" w:lineRule="exact"/>
            </w:pPr>
          </w:p>
          <w:p w:rsidR="00F077C2" w:rsidRDefault="00F077C2">
            <w:pPr>
              <w:spacing w:line="235" w:lineRule="exact"/>
            </w:pPr>
            <w:bookmarkStart w:id="7" w:name="Judge"/>
            <w:bookmarkEnd w:id="7"/>
            <w:r>
              <w:t>RICHARD A. HONN</w:t>
            </w:r>
          </w:p>
          <w:p w:rsidR="00F077C2" w:rsidRDefault="00F077C2">
            <w:pPr>
              <w:spacing w:after="120" w:line="235" w:lineRule="exact"/>
            </w:pPr>
            <w:r>
              <w:t>Judge of the State Bar Court</w:t>
            </w:r>
          </w:p>
        </w:tc>
      </w:tr>
    </w:tbl>
    <w:p w:rsidR="00F077C2" w:rsidRDefault="00F077C2">
      <w:pPr>
        <w:spacing w:line="235" w:lineRule="exact"/>
        <w:jc w:val="both"/>
      </w:pPr>
    </w:p>
    <w:sectPr w:rsidR="00F077C2" w:rsidSect="00F077C2">
      <w:footerReference w:type="default" r:id="rId6"/>
      <w:type w:val="continuous"/>
      <w:pgSz w:w="12240" w:h="15840"/>
      <w:pgMar w:top="1440" w:right="1440" w:bottom="360" w:left="1440" w:header="1440" w:footer="36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7C2" w:rsidRDefault="00F077C2" w:rsidP="00F077C2">
      <w:r>
        <w:separator/>
      </w:r>
    </w:p>
  </w:endnote>
  <w:endnote w:type="continuationSeparator" w:id="0">
    <w:p w:rsidR="00F077C2" w:rsidRDefault="00F077C2" w:rsidP="00F077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C2" w:rsidRDefault="00F077C2">
    <w:pPr>
      <w:spacing w:line="732" w:lineRule="exact"/>
    </w:pPr>
  </w:p>
  <w:p w:rsidR="00F077C2" w:rsidRDefault="00F077C2">
    <w:pPr>
      <w:framePr w:w="9361" w:wrap="notBeside" w:vAnchor="text" w:hAnchor="text" w:x="1" w:y="1"/>
      <w:jc w:val="center"/>
    </w:pPr>
    <w:r>
      <w:sym w:font="Symbol" w:char="F02D"/>
    </w:r>
    <w:fldSimple w:instr="PAGE ">
      <w:r w:rsidR="006E2353">
        <w:rPr>
          <w:noProof/>
        </w:rPr>
        <w:t>2</w:t>
      </w:r>
    </w:fldSimple>
    <w:r>
      <w:sym w:font="Symbol" w:char="F02D"/>
    </w:r>
  </w:p>
  <w:p w:rsidR="00F077C2" w:rsidRDefault="00F077C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7C2" w:rsidRDefault="00F077C2" w:rsidP="00F077C2">
      <w:r>
        <w:separator/>
      </w:r>
    </w:p>
  </w:footnote>
  <w:footnote w:type="continuationSeparator" w:id="0">
    <w:p w:rsidR="00F077C2" w:rsidRDefault="00F077C2" w:rsidP="00F077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77C2"/>
    <w:rsid w:val="003B723D"/>
    <w:rsid w:val="006E2353"/>
    <w:rsid w:val="007C7CA7"/>
    <w:rsid w:val="008C0839"/>
    <w:rsid w:val="008C59DD"/>
    <w:rsid w:val="009F06F7"/>
    <w:rsid w:val="00B54FA6"/>
    <w:rsid w:val="00F077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FA6"/>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54FA6"/>
  </w:style>
  <w:style w:type="paragraph" w:styleId="BalloonText">
    <w:name w:val="Balloon Text"/>
    <w:basedOn w:val="Normal"/>
    <w:link w:val="BalloonTextChar"/>
    <w:uiPriority w:val="99"/>
    <w:semiHidden/>
    <w:unhideWhenUsed/>
    <w:rsid w:val="007C7CA7"/>
    <w:rPr>
      <w:rFonts w:ascii="Tahoma" w:hAnsi="Tahoma" w:cs="Tahoma"/>
      <w:sz w:val="16"/>
      <w:szCs w:val="16"/>
    </w:rPr>
  </w:style>
  <w:style w:type="character" w:customStyle="1" w:styleId="BalloonTextChar">
    <w:name w:val="Balloon Text Char"/>
    <w:basedOn w:val="DefaultParagraphFont"/>
    <w:link w:val="BalloonText"/>
    <w:uiPriority w:val="99"/>
    <w:semiHidden/>
    <w:rsid w:val="007C7C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Honn</dc:creator>
  <cp:keywords/>
  <dc:description/>
  <cp:lastModifiedBy>Julieta E. Gonzales</cp:lastModifiedBy>
  <cp:revision>2</cp:revision>
  <cp:lastPrinted>2010-05-06T18:26:00Z</cp:lastPrinted>
  <dcterms:created xsi:type="dcterms:W3CDTF">2010-05-06T22:15:00Z</dcterms:created>
  <dcterms:modified xsi:type="dcterms:W3CDTF">2010-05-06T22:15:00Z</dcterms:modified>
</cp:coreProperties>
</file>