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81" w:rsidRPr="00BE06AF" w:rsidRDefault="00BE06AF" w:rsidP="00BE06AF">
      <w:pPr>
        <w:widowControl/>
        <w:spacing w:line="235" w:lineRule="exact"/>
        <w:jc w:val="right"/>
        <w:rPr>
          <w:b/>
          <w:sz w:val="36"/>
        </w:rPr>
      </w:pPr>
      <w:bookmarkStart w:id="0" w:name="QuickMark"/>
      <w:bookmarkEnd w:id="0"/>
      <w:r w:rsidRPr="00BE06AF">
        <w:rPr>
          <w:b/>
        </w:rPr>
        <w:t>FILED JANUARY 11, 2011</w:t>
      </w: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tabs>
          <w:tab w:val="center" w:pos="4680"/>
        </w:tabs>
        <w:spacing w:line="235" w:lineRule="exact"/>
        <w:rPr>
          <w:b/>
          <w:bCs/>
        </w:rPr>
      </w:pPr>
      <w:r>
        <w:tab/>
      </w:r>
      <w:r>
        <w:rPr>
          <w:b/>
          <w:bCs/>
        </w:rPr>
        <w:t>STATE BAR COURT OF CALIFORNIA</w:t>
      </w:r>
    </w:p>
    <w:p w:rsidR="00E66D81" w:rsidRDefault="00E66D81">
      <w:pPr>
        <w:widowControl/>
        <w:spacing w:line="235" w:lineRule="exact"/>
        <w:rPr>
          <w:b/>
          <w:bCs/>
        </w:rPr>
      </w:pPr>
    </w:p>
    <w:p w:rsidR="00E66D81" w:rsidRDefault="00E66D81">
      <w:pPr>
        <w:widowControl/>
        <w:tabs>
          <w:tab w:val="center" w:pos="4680"/>
        </w:tabs>
        <w:spacing w:line="235" w:lineRule="exact"/>
      </w:pPr>
      <w:r>
        <w:rPr>
          <w:b/>
          <w:bCs/>
        </w:rPr>
        <w:tab/>
        <w:t xml:space="preserve">HEARING DEPARTMENT – </w:t>
      </w:r>
      <w:bookmarkStart w:id="1" w:name="Venue"/>
      <w:bookmarkEnd w:id="1"/>
      <w:r>
        <w:rPr>
          <w:b/>
          <w:bCs/>
        </w:rPr>
        <w:t>SAN FRANCISCO</w:t>
      </w: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235" w:lineRule="exact"/>
      </w:pPr>
    </w:p>
    <w:p w:rsidR="00E66D81" w:rsidRDefault="00E66D81">
      <w:pPr>
        <w:widowControl/>
        <w:spacing w:line="62" w:lineRule="exact"/>
      </w:pPr>
    </w:p>
    <w:p w:rsidR="00E66D81" w:rsidRDefault="00E66D81">
      <w:pPr>
        <w:widowControl/>
        <w:spacing w:line="235" w:lineRule="exact"/>
      </w:pPr>
    </w:p>
    <w:tbl>
      <w:tblPr>
        <w:tblW w:w="0" w:type="auto"/>
        <w:jc w:val="center"/>
        <w:tblLayout w:type="fixed"/>
        <w:tblCellMar>
          <w:left w:w="0" w:type="dxa"/>
          <w:right w:w="0" w:type="dxa"/>
        </w:tblCellMar>
        <w:tblLook w:val="0000"/>
      </w:tblPr>
      <w:tblGrid>
        <w:gridCol w:w="4140"/>
        <w:gridCol w:w="540"/>
        <w:gridCol w:w="990"/>
        <w:gridCol w:w="3690"/>
      </w:tblGrid>
      <w:tr w:rsidR="00E66D81" w:rsidTr="00D86119">
        <w:trPr>
          <w:trHeight w:hRule="exact" w:val="244"/>
          <w:jc w:val="center"/>
        </w:trPr>
        <w:tc>
          <w:tcPr>
            <w:tcW w:w="4140" w:type="dxa"/>
            <w:vMerge w:val="restart"/>
          </w:tcPr>
          <w:p w:rsidR="00E66D81" w:rsidRDefault="00E66D81">
            <w:pPr>
              <w:widowControl/>
              <w:spacing w:line="235" w:lineRule="exact"/>
            </w:pPr>
            <w:r>
              <w:t>In the Matter of</w:t>
            </w:r>
          </w:p>
          <w:p w:rsidR="00572A9F" w:rsidRDefault="00572A9F">
            <w:pPr>
              <w:widowControl/>
              <w:spacing w:line="235" w:lineRule="exact"/>
              <w:rPr>
                <w:b/>
                <w:bCs/>
              </w:rPr>
            </w:pPr>
          </w:p>
          <w:p w:rsidR="00E66D81" w:rsidRDefault="00572A9F">
            <w:pPr>
              <w:widowControl/>
              <w:spacing w:line="235" w:lineRule="exact"/>
            </w:pPr>
            <w:r>
              <w:rPr>
                <w:b/>
                <w:bCs/>
              </w:rPr>
              <w:t>DAVID EVAN JONES</w:t>
            </w:r>
            <w:r w:rsidR="00E66D81">
              <w:rPr>
                <w:b/>
                <w:bCs/>
              </w:rPr>
              <w:t>,</w:t>
            </w:r>
          </w:p>
          <w:p w:rsidR="00E66D81" w:rsidRDefault="00E66D81">
            <w:pPr>
              <w:widowControl/>
              <w:spacing w:line="235" w:lineRule="exact"/>
            </w:pPr>
          </w:p>
          <w:p w:rsidR="00E66D81" w:rsidRDefault="00E66D81">
            <w:pPr>
              <w:widowControl/>
              <w:spacing w:line="235" w:lineRule="exact"/>
            </w:pPr>
            <w:bookmarkStart w:id="2" w:name="Type"/>
            <w:bookmarkEnd w:id="2"/>
            <w:r>
              <w:rPr>
                <w:b/>
                <w:bCs/>
              </w:rPr>
              <w:t xml:space="preserve">Member No. </w:t>
            </w:r>
            <w:r w:rsidR="00572A9F">
              <w:rPr>
                <w:b/>
                <w:bCs/>
              </w:rPr>
              <w:t>166794</w:t>
            </w:r>
            <w:r>
              <w:t>,</w:t>
            </w:r>
          </w:p>
          <w:p w:rsidR="00E66D81" w:rsidRDefault="00E66D81">
            <w:pPr>
              <w:widowControl/>
              <w:spacing w:line="235" w:lineRule="exact"/>
            </w:pPr>
          </w:p>
          <w:p w:rsidR="00E66D81" w:rsidRDefault="00E66D81">
            <w:pPr>
              <w:widowControl/>
              <w:spacing w:line="235" w:lineRule="exact"/>
            </w:pPr>
            <w:r>
              <w:t>A Member of the State Bar.</w:t>
            </w:r>
          </w:p>
        </w:tc>
        <w:tc>
          <w:tcPr>
            <w:tcW w:w="540" w:type="dxa"/>
            <w:vMerge w:val="restart"/>
          </w:tcPr>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p w:rsidR="00E66D81" w:rsidRDefault="00E66D81">
            <w:pPr>
              <w:widowControl/>
              <w:spacing w:line="235" w:lineRule="exact"/>
            </w:pPr>
            <w:r>
              <w:t>)</w:t>
            </w:r>
          </w:p>
        </w:tc>
        <w:tc>
          <w:tcPr>
            <w:tcW w:w="990" w:type="dxa"/>
            <w:vMerge w:val="restart"/>
          </w:tcPr>
          <w:p w:rsidR="00E66D81" w:rsidRDefault="00E66D81">
            <w:pPr>
              <w:widowControl/>
              <w:spacing w:line="235" w:lineRule="exact"/>
              <w:rPr>
                <w:b/>
                <w:bCs/>
              </w:rPr>
            </w:pPr>
            <w:r>
              <w:rPr>
                <w:b/>
                <w:bCs/>
              </w:rPr>
              <w:t xml:space="preserve">Case No. </w:t>
            </w:r>
          </w:p>
          <w:p w:rsidR="00E66D81" w:rsidRDefault="00E66D81">
            <w:pPr>
              <w:widowControl/>
              <w:spacing w:line="235" w:lineRule="exact"/>
              <w:rPr>
                <w:b/>
                <w:bCs/>
              </w:rPr>
            </w:pPr>
          </w:p>
        </w:tc>
        <w:tc>
          <w:tcPr>
            <w:tcW w:w="3690" w:type="dxa"/>
            <w:vMerge w:val="restart"/>
          </w:tcPr>
          <w:p w:rsidR="00E66D81" w:rsidRDefault="00572A9F" w:rsidP="00572A9F">
            <w:pPr>
              <w:widowControl/>
              <w:spacing w:line="235" w:lineRule="exact"/>
              <w:rPr>
                <w:b/>
                <w:bCs/>
              </w:rPr>
            </w:pPr>
            <w:bookmarkStart w:id="3" w:name="Case"/>
            <w:bookmarkEnd w:id="3"/>
            <w:r>
              <w:rPr>
                <w:b/>
                <w:bCs/>
              </w:rPr>
              <w:t>10-V-09261-</w:t>
            </w:r>
            <w:r w:rsidR="00E66D81">
              <w:rPr>
                <w:b/>
                <w:bCs/>
              </w:rPr>
              <w:t>PEM</w:t>
            </w:r>
          </w:p>
        </w:tc>
      </w:tr>
      <w:tr w:rsidR="00E66D81" w:rsidTr="00D86119">
        <w:trPr>
          <w:trHeight w:hRule="exact" w:val="270"/>
          <w:jc w:val="center"/>
        </w:trPr>
        <w:tc>
          <w:tcPr>
            <w:tcW w:w="4140" w:type="dxa"/>
            <w:vMerge/>
          </w:tcPr>
          <w:p w:rsidR="00E66D81" w:rsidRDefault="00E66D81">
            <w:pPr>
              <w:widowControl/>
              <w:spacing w:line="235" w:lineRule="exact"/>
            </w:pPr>
          </w:p>
        </w:tc>
        <w:tc>
          <w:tcPr>
            <w:tcW w:w="540" w:type="dxa"/>
            <w:vMerge/>
          </w:tcPr>
          <w:p w:rsidR="00E66D81" w:rsidRDefault="00E66D81">
            <w:pPr>
              <w:widowControl/>
              <w:spacing w:line="235" w:lineRule="exact"/>
            </w:pPr>
          </w:p>
        </w:tc>
        <w:tc>
          <w:tcPr>
            <w:tcW w:w="990" w:type="dxa"/>
            <w:vMerge/>
          </w:tcPr>
          <w:p w:rsidR="00E66D81" w:rsidRDefault="00E66D81">
            <w:pPr>
              <w:widowControl/>
              <w:spacing w:line="235" w:lineRule="exact"/>
              <w:rPr>
                <w:b/>
                <w:bCs/>
              </w:rPr>
            </w:pPr>
          </w:p>
        </w:tc>
        <w:tc>
          <w:tcPr>
            <w:tcW w:w="3690" w:type="dxa"/>
            <w:vMerge/>
          </w:tcPr>
          <w:p w:rsidR="00E66D81" w:rsidRDefault="00E66D81">
            <w:pPr>
              <w:widowControl/>
              <w:spacing w:line="235" w:lineRule="exact"/>
              <w:rPr>
                <w:b/>
                <w:bCs/>
              </w:rPr>
            </w:pPr>
          </w:p>
        </w:tc>
      </w:tr>
      <w:tr w:rsidR="00D86119" w:rsidTr="00D86119">
        <w:trPr>
          <w:trHeight w:hRule="exact" w:val="1170"/>
          <w:jc w:val="center"/>
        </w:trPr>
        <w:tc>
          <w:tcPr>
            <w:tcW w:w="4140" w:type="dxa"/>
            <w:vMerge/>
          </w:tcPr>
          <w:p w:rsidR="00E66D81" w:rsidRDefault="00E66D81">
            <w:pPr>
              <w:widowControl/>
              <w:spacing w:line="235" w:lineRule="exact"/>
            </w:pPr>
          </w:p>
        </w:tc>
        <w:tc>
          <w:tcPr>
            <w:tcW w:w="540" w:type="dxa"/>
            <w:vMerge/>
          </w:tcPr>
          <w:p w:rsidR="00E66D81" w:rsidRDefault="00E66D81">
            <w:pPr>
              <w:widowControl/>
              <w:spacing w:line="235" w:lineRule="exact"/>
            </w:pPr>
          </w:p>
        </w:tc>
        <w:tc>
          <w:tcPr>
            <w:tcW w:w="990" w:type="dxa"/>
            <w:gridSpan w:val="2"/>
          </w:tcPr>
          <w:p w:rsidR="000E19FE" w:rsidRDefault="00E66D81">
            <w:pPr>
              <w:widowControl/>
              <w:spacing w:line="235" w:lineRule="exact"/>
              <w:rPr>
                <w:b/>
                <w:bCs/>
              </w:rPr>
            </w:pPr>
            <w:bookmarkStart w:id="4" w:name="Document"/>
            <w:bookmarkEnd w:id="4"/>
            <w:r>
              <w:rPr>
                <w:b/>
                <w:bCs/>
              </w:rPr>
              <w:t>DECISION</w:t>
            </w:r>
            <w:r w:rsidR="000E19FE">
              <w:rPr>
                <w:b/>
                <w:bCs/>
              </w:rPr>
              <w:t xml:space="preserve"> RE PETITIONER</w:t>
            </w:r>
            <w:r w:rsidR="00433540">
              <w:rPr>
                <w:b/>
                <w:bCs/>
              </w:rPr>
              <w:t>’</w:t>
            </w:r>
            <w:r w:rsidR="000E19FE">
              <w:rPr>
                <w:b/>
                <w:bCs/>
              </w:rPr>
              <w:t xml:space="preserve">S </w:t>
            </w:r>
          </w:p>
          <w:p w:rsidR="000E19FE" w:rsidRDefault="000E19FE">
            <w:pPr>
              <w:widowControl/>
              <w:spacing w:line="235" w:lineRule="exact"/>
              <w:rPr>
                <w:b/>
                <w:bCs/>
              </w:rPr>
            </w:pPr>
            <w:r>
              <w:rPr>
                <w:b/>
                <w:bCs/>
              </w:rPr>
              <w:t xml:space="preserve">REQUEST FOR RELIEF FROM </w:t>
            </w:r>
          </w:p>
          <w:p w:rsidR="00E66D81" w:rsidRDefault="000E19FE">
            <w:pPr>
              <w:widowControl/>
              <w:spacing w:line="235" w:lineRule="exact"/>
              <w:rPr>
                <w:b/>
                <w:bCs/>
              </w:rPr>
            </w:pPr>
            <w:r>
              <w:rPr>
                <w:b/>
                <w:bCs/>
              </w:rPr>
              <w:t>ACTUAL SUSPENSION</w:t>
            </w:r>
          </w:p>
        </w:tc>
      </w:tr>
      <w:tr w:rsidR="00D86119" w:rsidTr="00F4641A">
        <w:trPr>
          <w:trHeight w:val="198"/>
          <w:jc w:val="center"/>
        </w:trPr>
        <w:tc>
          <w:tcPr>
            <w:tcW w:w="4140" w:type="dxa"/>
            <w:tcBorders>
              <w:bottom w:val="single" w:sz="4" w:space="0" w:color="auto"/>
            </w:tcBorders>
          </w:tcPr>
          <w:p w:rsidR="00E66D81" w:rsidRDefault="00E66D81">
            <w:pPr>
              <w:widowControl/>
              <w:spacing w:after="58" w:line="235" w:lineRule="exact"/>
            </w:pPr>
          </w:p>
        </w:tc>
        <w:tc>
          <w:tcPr>
            <w:tcW w:w="540" w:type="dxa"/>
          </w:tcPr>
          <w:p w:rsidR="00E66D81" w:rsidRDefault="00D86119">
            <w:pPr>
              <w:widowControl/>
              <w:spacing w:after="58" w:line="235" w:lineRule="exact"/>
            </w:pPr>
            <w:r>
              <w:t>)</w:t>
            </w:r>
          </w:p>
        </w:tc>
        <w:tc>
          <w:tcPr>
            <w:tcW w:w="990" w:type="dxa"/>
            <w:gridSpan w:val="2"/>
          </w:tcPr>
          <w:p w:rsidR="00E66D81" w:rsidRDefault="00E66D81">
            <w:pPr>
              <w:widowControl/>
              <w:spacing w:after="58" w:line="235" w:lineRule="exact"/>
            </w:pPr>
          </w:p>
        </w:tc>
      </w:tr>
    </w:tbl>
    <w:p w:rsidR="00E66D81" w:rsidRDefault="00E66D81">
      <w:pPr>
        <w:widowControl/>
        <w:spacing w:line="235" w:lineRule="exact"/>
      </w:pPr>
    </w:p>
    <w:p w:rsidR="00E66D81" w:rsidRDefault="00E66D81">
      <w:pPr>
        <w:widowControl/>
        <w:spacing w:line="470" w:lineRule="exact"/>
        <w:jc w:val="center"/>
      </w:pPr>
      <w:r>
        <w:rPr>
          <w:b/>
          <w:bCs/>
        </w:rPr>
        <w:t>I.  Introduction</w:t>
      </w:r>
    </w:p>
    <w:p w:rsidR="00E66D81" w:rsidRDefault="00E66D81" w:rsidP="00F4641A">
      <w:pPr>
        <w:widowControl/>
        <w:spacing w:line="470" w:lineRule="exact"/>
        <w:ind w:firstLine="720"/>
      </w:pPr>
      <w:r>
        <w:t xml:space="preserve">The issue in this case is whether petitioner </w:t>
      </w:r>
      <w:r w:rsidR="00572A9F">
        <w:t xml:space="preserve">David Evan Jones </w:t>
      </w:r>
      <w:r>
        <w:t>has established his rehabilitation, present fitness to practice, and present learning and ability in the general law so that he may be relieved from his actual suspension from the practice of law.  (</w:t>
      </w:r>
      <w:r w:rsidR="001869DD">
        <w:t>Rules of Procedure of the State Bar, title IV, Standards for Attorney Sanctions for Professional Misconduct</w:t>
      </w:r>
      <w:r>
        <w:t>, std. 1.4(c)(ii).)</w:t>
      </w:r>
      <w:r w:rsidR="00A62D94" w:rsidRPr="009E7CA0">
        <w:rPr>
          <w:rStyle w:val="FootnoteReference"/>
          <w:vertAlign w:val="superscript"/>
        </w:rPr>
        <w:footnoteReference w:id="1"/>
      </w:r>
    </w:p>
    <w:p w:rsidR="00E66D81" w:rsidRDefault="00E66D81" w:rsidP="00F4641A">
      <w:pPr>
        <w:widowControl/>
        <w:spacing w:line="470" w:lineRule="exact"/>
        <w:ind w:firstLine="720"/>
      </w:pPr>
      <w:r>
        <w:t xml:space="preserve">The court finds that petitioner has shown by a preponderance of the evidence that he has satisfied the requirements of standard 1.4(c)(ii) and therefore, finds that his actual suspension should be terminated.  Accordingly, the court </w:t>
      </w:r>
      <w:r w:rsidR="006320A2">
        <w:rPr>
          <w:b/>
          <w:bCs/>
        </w:rPr>
        <w:t>GRANTS</w:t>
      </w:r>
      <w:r>
        <w:t xml:space="preserve"> petitioner</w:t>
      </w:r>
      <w:r w:rsidR="00433540">
        <w:t>’</w:t>
      </w:r>
      <w:r>
        <w:t xml:space="preserve">s petition for relief from actual suspension from the practice of law. </w:t>
      </w:r>
      <w:r w:rsidR="001517DD">
        <w:t xml:space="preserve"> </w:t>
      </w:r>
    </w:p>
    <w:p w:rsidR="00E66D81" w:rsidRDefault="00E66D81">
      <w:pPr>
        <w:widowControl/>
        <w:spacing w:line="470" w:lineRule="exact"/>
        <w:jc w:val="center"/>
      </w:pPr>
      <w:r>
        <w:rPr>
          <w:b/>
          <w:bCs/>
        </w:rPr>
        <w:t>I</w:t>
      </w:r>
      <w:r w:rsidR="00570D74">
        <w:rPr>
          <w:b/>
          <w:bCs/>
        </w:rPr>
        <w:t>I</w:t>
      </w:r>
      <w:r>
        <w:rPr>
          <w:b/>
          <w:bCs/>
        </w:rPr>
        <w:t>.  Significant Procedural History</w:t>
      </w:r>
    </w:p>
    <w:p w:rsidR="00E66D81" w:rsidRDefault="00140D2B" w:rsidP="00F4641A">
      <w:pPr>
        <w:widowControl/>
        <w:spacing w:line="470" w:lineRule="exact"/>
        <w:ind w:firstLine="720"/>
      </w:pPr>
      <w:r>
        <w:t xml:space="preserve">On </w:t>
      </w:r>
      <w:r w:rsidR="00572A9F">
        <w:t>October 12, 2010,</w:t>
      </w:r>
      <w:r>
        <w:t xml:space="preserve"> petitioner filed a </w:t>
      </w:r>
      <w:r w:rsidR="00756491">
        <w:t xml:space="preserve">verified petition for relief from actual suspension.  On </w:t>
      </w:r>
      <w:r w:rsidR="006A4706">
        <w:t>November 22, 2010,</w:t>
      </w:r>
      <w:r w:rsidR="00572A9F">
        <w:t xml:space="preserve"> the Office </w:t>
      </w:r>
      <w:r w:rsidR="003D36E3">
        <w:t>of</w:t>
      </w:r>
      <w:r w:rsidR="00572A9F">
        <w:t xml:space="preserve"> the Chief Trial Counsel of the State Bar of California (</w:t>
      </w:r>
      <w:r w:rsidR="00433540">
        <w:t>“</w:t>
      </w:r>
      <w:r w:rsidR="00572A9F">
        <w:t>State Bar</w:t>
      </w:r>
      <w:r w:rsidR="00433540">
        <w:t>”</w:t>
      </w:r>
      <w:r w:rsidR="00F116E2">
        <w:t>)</w:t>
      </w:r>
      <w:r w:rsidR="00572A9F">
        <w:t xml:space="preserve"> filed a motion for an extension of time to file its response to the petitioner</w:t>
      </w:r>
      <w:r w:rsidR="00433540">
        <w:t>’</w:t>
      </w:r>
      <w:r w:rsidR="00572A9F">
        <w:t xml:space="preserve">s petition. </w:t>
      </w:r>
      <w:r w:rsidR="00636FDE">
        <w:t xml:space="preserve"> </w:t>
      </w:r>
      <w:r w:rsidR="00572A9F">
        <w:lastRenderedPageBreak/>
        <w:t>Petitioner did not object to the State Bar</w:t>
      </w:r>
      <w:r w:rsidR="00433540">
        <w:t>’</w:t>
      </w:r>
      <w:r w:rsidR="00572A9F">
        <w:t xml:space="preserve">s request.  On November 24, 2010, the </w:t>
      </w:r>
      <w:r w:rsidR="00637D72">
        <w:t xml:space="preserve">court </w:t>
      </w:r>
      <w:r w:rsidR="00572A9F">
        <w:t>granted the State Bar</w:t>
      </w:r>
      <w:r w:rsidR="00433540">
        <w:t>’</w:t>
      </w:r>
      <w:r w:rsidR="00637D72">
        <w:t>s</w:t>
      </w:r>
      <w:r w:rsidR="00572A9F">
        <w:t xml:space="preserve"> </w:t>
      </w:r>
      <w:r w:rsidR="00B32A88">
        <w:t>request.  On December 9, 2010, t</w:t>
      </w:r>
      <w:r w:rsidR="00572A9F">
        <w:t>he State Bar filed a response.  The response did not oppose the petition.</w:t>
      </w:r>
    </w:p>
    <w:p w:rsidR="00572A9F" w:rsidRDefault="00572A9F" w:rsidP="00F4641A">
      <w:pPr>
        <w:widowControl/>
        <w:spacing w:line="470" w:lineRule="exact"/>
        <w:ind w:firstLine="720"/>
      </w:pPr>
      <w:r>
        <w:t>On January 3, 2010</w:t>
      </w:r>
      <w:r w:rsidR="00823F3C">
        <w:t>, the court held a pretrial conference.  Based on the State Bar</w:t>
      </w:r>
      <w:r w:rsidR="00433540">
        <w:t>’</w:t>
      </w:r>
      <w:r w:rsidR="00823F3C">
        <w:t>s non-opposition and the evidence, as laid out below,</w:t>
      </w:r>
      <w:r>
        <w:t xml:space="preserve"> the court </w:t>
      </w:r>
      <w:r w:rsidR="00823F3C">
        <w:t>issued an oral ruling granting</w:t>
      </w:r>
      <w:r>
        <w:t xml:space="preserve"> </w:t>
      </w:r>
      <w:r w:rsidR="00823F3C">
        <w:t>petitioner</w:t>
      </w:r>
      <w:r w:rsidR="00433540">
        <w:t>’</w:t>
      </w:r>
      <w:r w:rsidR="00823F3C">
        <w:t>s request for relief from actual suspension from the practice of law</w:t>
      </w:r>
      <w:r>
        <w:t xml:space="preserve">. </w:t>
      </w:r>
    </w:p>
    <w:p w:rsidR="00E66D81" w:rsidRDefault="00E66D81" w:rsidP="004B327E">
      <w:pPr>
        <w:widowControl/>
        <w:tabs>
          <w:tab w:val="center" w:pos="4680"/>
        </w:tabs>
        <w:spacing w:line="470" w:lineRule="exact"/>
        <w:jc w:val="center"/>
      </w:pPr>
      <w:r>
        <w:rPr>
          <w:b/>
          <w:bCs/>
        </w:rPr>
        <w:t>III.  Findings of Fact</w:t>
      </w:r>
    </w:p>
    <w:p w:rsidR="00862595" w:rsidRPr="009B054A" w:rsidRDefault="00E66D81" w:rsidP="00F4641A">
      <w:pPr>
        <w:widowControl/>
        <w:spacing w:line="470" w:lineRule="exact"/>
        <w:ind w:firstLine="720"/>
      </w:pPr>
      <w:r>
        <w:t>The following findings of fact are based on the</w:t>
      </w:r>
      <w:r w:rsidR="00572A9F">
        <w:t xml:space="preserve"> </w:t>
      </w:r>
      <w:r w:rsidR="00012AFF">
        <w:t>petition filed by petitioner and the State Bar</w:t>
      </w:r>
      <w:r w:rsidR="00433540">
        <w:t>’</w:t>
      </w:r>
      <w:r w:rsidR="00012AFF">
        <w:t>s non-opposition.</w:t>
      </w:r>
      <w:r>
        <w:t xml:space="preserve"> </w:t>
      </w:r>
      <w:r w:rsidR="009B054A">
        <w:t xml:space="preserve"> </w:t>
      </w:r>
      <w:r>
        <w:t xml:space="preserve">Petitioner was admitted to the practice of law in California on </w:t>
      </w:r>
      <w:r w:rsidR="004D0AA7">
        <w:t>December 10,</w:t>
      </w:r>
      <w:r w:rsidR="00F4641A">
        <w:t xml:space="preserve"> </w:t>
      </w:r>
      <w:r w:rsidR="00B32A88">
        <w:t>199</w:t>
      </w:r>
      <w:r w:rsidR="004D0AA7">
        <w:t>3</w:t>
      </w:r>
      <w:r w:rsidR="00F4641A">
        <w:t xml:space="preserve">, </w:t>
      </w:r>
      <w:r>
        <w:t>and has been a member of the State Bar since that time.</w:t>
      </w:r>
    </w:p>
    <w:p w:rsidR="009819AE" w:rsidRDefault="009819AE" w:rsidP="00862595">
      <w:pPr>
        <w:pStyle w:val="Level1"/>
        <w:widowControl/>
        <w:tabs>
          <w:tab w:val="left" w:pos="-1440"/>
        </w:tabs>
        <w:spacing w:line="470" w:lineRule="exact"/>
        <w:ind w:left="0" w:firstLine="0"/>
        <w:jc w:val="both"/>
      </w:pPr>
      <w:r w:rsidRPr="00862595">
        <w:rPr>
          <w:b/>
        </w:rPr>
        <w:t>A.  Petitioner</w:t>
      </w:r>
      <w:r w:rsidR="00433540">
        <w:rPr>
          <w:b/>
        </w:rPr>
        <w:t>’</w:t>
      </w:r>
      <w:r w:rsidRPr="00862595">
        <w:rPr>
          <w:b/>
        </w:rPr>
        <w:t>s Underlying Disciplinary Background</w:t>
      </w:r>
    </w:p>
    <w:p w:rsidR="00012AFF" w:rsidRDefault="005A2A1F" w:rsidP="00F4641A">
      <w:pPr>
        <w:pStyle w:val="Level1"/>
        <w:widowControl/>
        <w:tabs>
          <w:tab w:val="left" w:pos="-1440"/>
        </w:tabs>
        <w:spacing w:line="470" w:lineRule="exact"/>
        <w:ind w:left="0" w:firstLine="720"/>
      </w:pPr>
      <w:r>
        <w:t>T</w:t>
      </w:r>
      <w:r w:rsidR="00E66D81">
        <w:t>he underlying matter</w:t>
      </w:r>
      <w:r>
        <w:t xml:space="preserve"> involves petitioner</w:t>
      </w:r>
      <w:r w:rsidR="00433540">
        <w:t>’</w:t>
      </w:r>
      <w:r>
        <w:t xml:space="preserve">s </w:t>
      </w:r>
      <w:r w:rsidR="00623CE2">
        <w:t xml:space="preserve">2008 </w:t>
      </w:r>
      <w:r w:rsidR="00012AFF">
        <w:t xml:space="preserve">felony </w:t>
      </w:r>
      <w:r>
        <w:t>conviction for</w:t>
      </w:r>
      <w:r w:rsidR="00012AFF">
        <w:t xml:space="preserve"> false </w:t>
      </w:r>
      <w:r w:rsidR="00012AFF" w:rsidRPr="007B2E13">
        <w:t>personation</w:t>
      </w:r>
      <w:r w:rsidR="00012AFF">
        <w:t xml:space="preserve"> (Penal Code </w:t>
      </w:r>
      <w:r w:rsidR="00F44ED7">
        <w:t>section</w:t>
      </w:r>
      <w:r w:rsidR="00012AFF">
        <w:t xml:space="preserve"> 529).</w:t>
      </w:r>
      <w:r>
        <w:t xml:space="preserve">  In that case, p</w:t>
      </w:r>
      <w:r w:rsidR="00551628">
        <w:t>etitioner</w:t>
      </w:r>
      <w:r>
        <w:t>—who worked for the Fresno County District Attorney</w:t>
      </w:r>
      <w:r w:rsidR="00433540">
        <w:t>’</w:t>
      </w:r>
      <w:r>
        <w:t>s Office—posted a female victim</w:t>
      </w:r>
      <w:r w:rsidR="00433540">
        <w:t>’</w:t>
      </w:r>
      <w:r>
        <w:t xml:space="preserve">s photograph </w:t>
      </w:r>
      <w:r w:rsidR="00012AFF">
        <w:t>on two internet sites</w:t>
      </w:r>
      <w:r>
        <w:t>.  Posing as the victim, petitioner</w:t>
      </w:r>
      <w:r w:rsidR="00012AFF">
        <w:t xml:space="preserve"> </w:t>
      </w:r>
      <w:r w:rsidR="00F17E63">
        <w:t xml:space="preserve">provided her contact information and </w:t>
      </w:r>
      <w:r w:rsidR="00012AFF">
        <w:t>solicited individuals to con</w:t>
      </w:r>
      <w:r w:rsidR="00551628">
        <w:t xml:space="preserve">tact </w:t>
      </w:r>
      <w:r>
        <w:t>her</w:t>
      </w:r>
      <w:r w:rsidR="00F17E63">
        <w:t xml:space="preserve"> for sex</w:t>
      </w:r>
      <w:r w:rsidR="00012AFF">
        <w:t>.</w:t>
      </w:r>
      <w:r w:rsidR="00551628">
        <w:t xml:space="preserve">  The victim, who was employed as a court employee, received phone calls at home and at work.  Petitioner</w:t>
      </w:r>
      <w:r w:rsidR="00433540">
        <w:t>’</w:t>
      </w:r>
      <w:r w:rsidR="00551628">
        <w:t>s on-line postings specifically revealed the victim</w:t>
      </w:r>
      <w:r w:rsidR="00433540">
        <w:t>’</w:t>
      </w:r>
      <w:r w:rsidR="00551628">
        <w:t>s employer.</w:t>
      </w:r>
    </w:p>
    <w:p w:rsidR="004D0AA7" w:rsidRDefault="004D0AA7" w:rsidP="00F4641A">
      <w:pPr>
        <w:pStyle w:val="Level1"/>
        <w:widowControl/>
        <w:tabs>
          <w:tab w:val="left" w:pos="-1440"/>
        </w:tabs>
        <w:spacing w:line="470" w:lineRule="exact"/>
        <w:ind w:left="0" w:firstLine="720"/>
      </w:pPr>
      <w:r>
        <w:t>On July 29, 2008, petitioner pled guilty to</w:t>
      </w:r>
      <w:r w:rsidR="00A37214">
        <w:t xml:space="preserve"> a</w:t>
      </w:r>
      <w:r>
        <w:t xml:space="preserve"> violation </w:t>
      </w:r>
      <w:r w:rsidR="00A37214">
        <w:t xml:space="preserve">of </w:t>
      </w:r>
      <w:r>
        <w:t xml:space="preserve">Penal Code </w:t>
      </w:r>
      <w:r w:rsidR="00F44ED7">
        <w:t>section</w:t>
      </w:r>
      <w:r>
        <w:t xml:space="preserve"> 529.  By violating Penal Code </w:t>
      </w:r>
      <w:r w:rsidR="00F44ED7">
        <w:t>section</w:t>
      </w:r>
      <w:r>
        <w:t xml:space="preserve"> 529</w:t>
      </w:r>
      <w:r w:rsidR="00F17E63">
        <w:t>,</w:t>
      </w:r>
      <w:r>
        <w:t xml:space="preserve"> petitioner failed to support the laws of this state in violation of subdivision</w:t>
      </w:r>
      <w:r w:rsidR="00F17E63">
        <w:t xml:space="preserve"> </w:t>
      </w:r>
      <w:r>
        <w:t xml:space="preserve">(a) of Business and Professions Code </w:t>
      </w:r>
      <w:r w:rsidR="00F44ED7">
        <w:t>section</w:t>
      </w:r>
      <w:r>
        <w:t xml:space="preserve"> 6068.  Although Penal Code </w:t>
      </w:r>
      <w:r w:rsidR="00F44ED7">
        <w:t>section</w:t>
      </w:r>
      <w:r>
        <w:t xml:space="preserve"> 529 does not per se involve moral turpitude, in this case the facts and circumstances surrounding </w:t>
      </w:r>
      <w:r w:rsidR="00AF555B">
        <w:t>petitioner</w:t>
      </w:r>
      <w:r w:rsidR="00433540">
        <w:t>’</w:t>
      </w:r>
      <w:r>
        <w:t>s conv</w:t>
      </w:r>
      <w:r w:rsidR="007B2E13">
        <w:t>iction involved moral turpitude</w:t>
      </w:r>
      <w:r>
        <w:t xml:space="preserve"> in violation of </w:t>
      </w:r>
      <w:r w:rsidR="00F17E63">
        <w:t xml:space="preserve">Business and Professions </w:t>
      </w:r>
      <w:r>
        <w:t xml:space="preserve">Code </w:t>
      </w:r>
      <w:r w:rsidR="00F44ED7">
        <w:t>section</w:t>
      </w:r>
      <w:r w:rsidR="00E727A1">
        <w:t xml:space="preserve"> </w:t>
      </w:r>
      <w:r>
        <w:t>6106.</w:t>
      </w:r>
    </w:p>
    <w:p w:rsidR="007B2E13" w:rsidRDefault="00E66D81" w:rsidP="00F4641A">
      <w:pPr>
        <w:widowControl/>
        <w:spacing w:line="470" w:lineRule="exact"/>
        <w:ind w:firstLine="720"/>
      </w:pPr>
      <w:r>
        <w:t xml:space="preserve">In mitigation, </w:t>
      </w:r>
      <w:r w:rsidR="007B2E13">
        <w:t>petitioner had no prior record of discipline in 12 years of practice and</w:t>
      </w:r>
      <w:r>
        <w:t xml:space="preserve"> displayed spontaneous candor and cooperation </w:t>
      </w:r>
      <w:r w:rsidR="00F17E63">
        <w:t xml:space="preserve">with </w:t>
      </w:r>
      <w:r>
        <w:t>the State Bar during the proceedings</w:t>
      </w:r>
      <w:r w:rsidR="00CE4970">
        <w:t>.</w:t>
      </w:r>
      <w:r w:rsidR="007B2E13">
        <w:t xml:space="preserve">  </w:t>
      </w:r>
      <w:r>
        <w:t xml:space="preserve">In aggravation, </w:t>
      </w:r>
      <w:r w:rsidR="00CE4970">
        <w:t>petitioner</w:t>
      </w:r>
      <w:r w:rsidR="007B2E13">
        <w:t xml:space="preserve"> committed multiple acts of wrongdoing and his </w:t>
      </w:r>
      <w:r w:rsidR="00CE4970">
        <w:t xml:space="preserve">misconduct significantly harmed the victim.  </w:t>
      </w:r>
    </w:p>
    <w:p w:rsidR="007B2E13" w:rsidRDefault="00DF58FA" w:rsidP="00F4641A">
      <w:pPr>
        <w:widowControl/>
        <w:spacing w:line="470" w:lineRule="exact"/>
        <w:ind w:firstLine="720"/>
      </w:pPr>
      <w:r>
        <w:lastRenderedPageBreak/>
        <w:t>As for discipline, it was stipulated that petitioner should be suspended for t</w:t>
      </w:r>
      <w:r w:rsidR="0015104B">
        <w:t>hree years</w:t>
      </w:r>
      <w:r>
        <w:t>, that execution of the suspension be stayed</w:t>
      </w:r>
      <w:r w:rsidR="007B2E13">
        <w:t>,</w:t>
      </w:r>
      <w:r>
        <w:t xml:space="preserve"> and that he be placed on probation for</w:t>
      </w:r>
      <w:r w:rsidR="00CE4970">
        <w:t xml:space="preserve"> four </w:t>
      </w:r>
      <w:r w:rsidR="0015104B">
        <w:t>years</w:t>
      </w:r>
      <w:r>
        <w:t xml:space="preserve"> on conditions, including that he be actually suspended for</w:t>
      </w:r>
      <w:r w:rsidR="0015104B">
        <w:t xml:space="preserve"> </w:t>
      </w:r>
      <w:r w:rsidR="00CE4970">
        <w:t xml:space="preserve">two years </w:t>
      </w:r>
      <w:r w:rsidR="0015104B">
        <w:t>and until he</w:t>
      </w:r>
      <w:bookmarkStart w:id="5" w:name="a6"/>
      <w:bookmarkEnd w:id="5"/>
      <w:r w:rsidR="0015104B">
        <w:t xml:space="preserve"> has shown proof satisfactory to the State Bar Court of his rehabilitation, fitness to practice</w:t>
      </w:r>
      <w:r w:rsidR="007B2E13">
        <w:t>,</w:t>
      </w:r>
      <w:r w:rsidR="0015104B">
        <w:t xml:space="preserve"> and learning and ability in the general law pursuant to standard 1.4(c)(ii)</w:t>
      </w:r>
      <w:r w:rsidR="002E493E">
        <w:t>.  W</w:t>
      </w:r>
      <w:r>
        <w:t xml:space="preserve">ith minor modifications, the stipulation was approved by the State Bar Court hearing judge.  </w:t>
      </w:r>
    </w:p>
    <w:p w:rsidR="009819AE" w:rsidRDefault="00DF58FA" w:rsidP="00F4641A">
      <w:pPr>
        <w:widowControl/>
        <w:spacing w:line="470" w:lineRule="exact"/>
        <w:ind w:firstLine="720"/>
      </w:pPr>
      <w:r>
        <w:t>On</w:t>
      </w:r>
      <w:r w:rsidR="00CE4970">
        <w:t xml:space="preserve"> December 2, 2009,</w:t>
      </w:r>
      <w:r>
        <w:t xml:space="preserve"> the Supreme Court filed an order in case number S1</w:t>
      </w:r>
      <w:r w:rsidR="00CE4970">
        <w:t>76783</w:t>
      </w:r>
      <w:r>
        <w:t xml:space="preserve"> in which it imposed the stipulated discipli</w:t>
      </w:r>
      <w:r w:rsidR="00CE4970">
        <w:t>ne on pet</w:t>
      </w:r>
      <w:r w:rsidR="00F17E63">
        <w:t xml:space="preserve">itioner.  </w:t>
      </w:r>
      <w:r w:rsidR="00832971">
        <w:t xml:space="preserve">This order became effective January 1, 2010.  </w:t>
      </w:r>
      <w:r w:rsidR="00A93C6A">
        <w:t xml:space="preserve">Petitioner was given credit for the period of interim suspension which commenced on August 27, 2008. </w:t>
      </w:r>
      <w:r w:rsidR="00F17E63">
        <w:t xml:space="preserve"> </w:t>
      </w:r>
    </w:p>
    <w:p w:rsidR="009819AE" w:rsidRDefault="002E493E" w:rsidP="00884CFC">
      <w:pPr>
        <w:widowControl/>
        <w:tabs>
          <w:tab w:val="left" w:pos="630"/>
        </w:tabs>
        <w:spacing w:line="470" w:lineRule="exact"/>
        <w:rPr>
          <w:b/>
          <w:bCs/>
        </w:rPr>
      </w:pPr>
      <w:r>
        <w:rPr>
          <w:b/>
          <w:bCs/>
        </w:rPr>
        <w:t>B</w:t>
      </w:r>
      <w:r w:rsidR="00E66D81">
        <w:rPr>
          <w:b/>
          <w:bCs/>
        </w:rPr>
        <w:t>.</w:t>
      </w:r>
      <w:r w:rsidR="00DB2CDC">
        <w:rPr>
          <w:b/>
          <w:bCs/>
        </w:rPr>
        <w:t xml:space="preserve">  </w:t>
      </w:r>
      <w:r w:rsidR="00E66D81">
        <w:rPr>
          <w:b/>
          <w:bCs/>
        </w:rPr>
        <w:t>Petitioner</w:t>
      </w:r>
      <w:r w:rsidR="00433540">
        <w:rPr>
          <w:b/>
          <w:bCs/>
        </w:rPr>
        <w:t>’</w:t>
      </w:r>
      <w:r w:rsidR="00E66D81">
        <w:rPr>
          <w:b/>
          <w:bCs/>
        </w:rPr>
        <w:t>s Rehabilitation and Present Fitness to Practice Law</w:t>
      </w:r>
    </w:p>
    <w:p w:rsidR="001B4E8C" w:rsidRDefault="004D66F9" w:rsidP="00B9301A">
      <w:pPr>
        <w:widowControl/>
        <w:tabs>
          <w:tab w:val="left" w:pos="630"/>
        </w:tabs>
        <w:spacing w:line="470" w:lineRule="exact"/>
        <w:ind w:firstLine="720"/>
      </w:pPr>
      <w:r>
        <w:t>As illustrated below, p</w:t>
      </w:r>
      <w:r w:rsidR="00B9301A">
        <w:t xml:space="preserve">etitioner asserts that </w:t>
      </w:r>
      <w:r w:rsidR="00A93C6A">
        <w:t xml:space="preserve">he </w:t>
      </w:r>
      <w:r w:rsidR="002E493E">
        <w:t>has be</w:t>
      </w:r>
      <w:r w:rsidR="001B4E8C">
        <w:t>en</w:t>
      </w:r>
      <w:r w:rsidR="002E493E">
        <w:t xml:space="preserve"> rehabilitated</w:t>
      </w:r>
      <w:r w:rsidR="00F4641A">
        <w:t xml:space="preserve"> and </w:t>
      </w:r>
      <w:r w:rsidR="00B9301A">
        <w:t>possesses the requisite</w:t>
      </w:r>
      <w:r w:rsidR="001B4E8C">
        <w:t xml:space="preserve"> present fitn</w:t>
      </w:r>
      <w:r w:rsidR="00A93C6A">
        <w:t xml:space="preserve">ess to practice law.  </w:t>
      </w:r>
      <w:r w:rsidR="00B9301A">
        <w:t xml:space="preserve">The State Bar did not oppose or rebut this assertion.  </w:t>
      </w:r>
    </w:p>
    <w:p w:rsidR="009B7004" w:rsidRDefault="00DB2CDC" w:rsidP="00DB2CDC">
      <w:pPr>
        <w:widowControl/>
        <w:spacing w:line="470" w:lineRule="exact"/>
        <w:ind w:firstLine="720"/>
        <w:rPr>
          <w:b/>
          <w:i/>
        </w:rPr>
      </w:pPr>
      <w:r>
        <w:rPr>
          <w:b/>
          <w:i/>
        </w:rPr>
        <w:t xml:space="preserve">1.  </w:t>
      </w:r>
      <w:r w:rsidR="00AC1AC1" w:rsidRPr="00AC1AC1">
        <w:rPr>
          <w:b/>
          <w:i/>
        </w:rPr>
        <w:t>Petitioner</w:t>
      </w:r>
      <w:r w:rsidR="00433540">
        <w:rPr>
          <w:b/>
          <w:i/>
        </w:rPr>
        <w:t>’</w:t>
      </w:r>
      <w:r w:rsidR="00AC1AC1" w:rsidRPr="00AC1AC1">
        <w:rPr>
          <w:b/>
          <w:i/>
        </w:rPr>
        <w:t xml:space="preserve">s Compliance </w:t>
      </w:r>
      <w:r w:rsidR="00831E52">
        <w:rPr>
          <w:b/>
          <w:i/>
        </w:rPr>
        <w:t>w</w:t>
      </w:r>
      <w:r w:rsidR="00AC1AC1" w:rsidRPr="00AC1AC1">
        <w:rPr>
          <w:b/>
          <w:i/>
        </w:rPr>
        <w:t>ith Probation Conditions</w:t>
      </w:r>
    </w:p>
    <w:p w:rsidR="00832971" w:rsidRDefault="00831E52" w:rsidP="00831E52">
      <w:pPr>
        <w:widowControl/>
        <w:spacing w:line="470" w:lineRule="exact"/>
        <w:ind w:firstLine="720"/>
      </w:pPr>
      <w:r>
        <w:t>Other terms and conditions of petitioner</w:t>
      </w:r>
      <w:r w:rsidR="00433540">
        <w:t>’</w:t>
      </w:r>
      <w:r>
        <w:t xml:space="preserve">s </w:t>
      </w:r>
      <w:r w:rsidR="00832971">
        <w:t>aforementioned</w:t>
      </w:r>
      <w:r>
        <w:t xml:space="preserve"> probation required</w:t>
      </w:r>
      <w:r w:rsidR="00654508">
        <w:t>, among other things,</w:t>
      </w:r>
      <w:r>
        <w:t xml:space="preserve"> that he file quarterly reports, successfully complete the State Bar</w:t>
      </w:r>
      <w:r w:rsidR="00433540">
        <w:t>’</w:t>
      </w:r>
      <w:r>
        <w:t>s Ethics School, and take and pass the Multistate Professional Responsibility Exam (</w:t>
      </w:r>
      <w:r w:rsidR="00433540">
        <w:t>“</w:t>
      </w:r>
      <w:r>
        <w:t>MPRE</w:t>
      </w:r>
      <w:r w:rsidR="00433540">
        <w:t>”</w:t>
      </w:r>
      <w:r>
        <w:t xml:space="preserve">).  </w:t>
      </w:r>
      <w:r w:rsidR="00832971">
        <w:t>At</w:t>
      </w:r>
      <w:r w:rsidR="008D37F5">
        <w:t xml:space="preserve"> the time </w:t>
      </w:r>
      <w:r w:rsidR="00AF1773">
        <w:t>petitioner filed his verified petition for relief</w:t>
      </w:r>
      <w:r w:rsidR="00684520">
        <w:t xml:space="preserve"> on October 12, 2010, </w:t>
      </w:r>
      <w:r w:rsidR="008D37F5">
        <w:t>he</w:t>
      </w:r>
      <w:r w:rsidR="00E66D81">
        <w:t xml:space="preserve"> </w:t>
      </w:r>
      <w:r>
        <w:t>was in full compliance with the terms and conditions of his disciplinary probation, including, but not limited to, his satisfactory completion of the State Bar</w:t>
      </w:r>
      <w:r w:rsidR="00433540">
        <w:t>’</w:t>
      </w:r>
      <w:r>
        <w:t xml:space="preserve">s Ethics School </w:t>
      </w:r>
      <w:r w:rsidR="00832971">
        <w:t>in May</w:t>
      </w:r>
      <w:r>
        <w:t xml:space="preserve"> 2010, and his taking and passing the MPRE in March 2010.  </w:t>
      </w:r>
    </w:p>
    <w:p w:rsidR="00E66D81" w:rsidRDefault="00832971" w:rsidP="00831E52">
      <w:pPr>
        <w:widowControl/>
        <w:spacing w:line="470" w:lineRule="exact"/>
        <w:ind w:firstLine="720"/>
      </w:pPr>
      <w:r>
        <w:t>P</w:t>
      </w:r>
      <w:r w:rsidR="00831E52">
        <w:t xml:space="preserve">etitioner </w:t>
      </w:r>
      <w:r>
        <w:t xml:space="preserve">also </w:t>
      </w:r>
      <w:r w:rsidR="00831E52">
        <w:t xml:space="preserve">demonstrated compliance with the terms and conditions of his </w:t>
      </w:r>
      <w:r>
        <w:t xml:space="preserve">underlying </w:t>
      </w:r>
      <w:r w:rsidR="00831E52">
        <w:t>criminal probation.</w:t>
      </w:r>
    </w:p>
    <w:p w:rsidR="00E66D81" w:rsidRPr="00177680" w:rsidRDefault="00DB2CDC" w:rsidP="00FB1AD7">
      <w:pPr>
        <w:pStyle w:val="Level2"/>
        <w:widowControl/>
        <w:tabs>
          <w:tab w:val="left" w:pos="-1440"/>
          <w:tab w:val="num" w:pos="1440"/>
        </w:tabs>
        <w:spacing w:line="470" w:lineRule="exact"/>
        <w:rPr>
          <w:b/>
          <w:i/>
        </w:rPr>
      </w:pPr>
      <w:r>
        <w:rPr>
          <w:b/>
          <w:i/>
        </w:rPr>
        <w:t xml:space="preserve">2.  </w:t>
      </w:r>
      <w:r w:rsidR="0023099B" w:rsidRPr="00177680">
        <w:rPr>
          <w:b/>
          <w:i/>
        </w:rPr>
        <w:t>Petitioner</w:t>
      </w:r>
      <w:r w:rsidR="00433540">
        <w:rPr>
          <w:b/>
          <w:i/>
        </w:rPr>
        <w:t>’</w:t>
      </w:r>
      <w:r w:rsidR="0023099B" w:rsidRPr="00177680">
        <w:rPr>
          <w:b/>
          <w:i/>
        </w:rPr>
        <w:t xml:space="preserve">s </w:t>
      </w:r>
      <w:r w:rsidR="00E66D81" w:rsidRPr="00177680">
        <w:rPr>
          <w:b/>
          <w:i/>
        </w:rPr>
        <w:t>Community Work</w:t>
      </w:r>
    </w:p>
    <w:p w:rsidR="00DE60E2" w:rsidRDefault="00E66D81" w:rsidP="00F10C4C">
      <w:pPr>
        <w:widowControl/>
        <w:spacing w:line="470" w:lineRule="exact"/>
        <w:ind w:firstLine="720"/>
      </w:pPr>
      <w:r>
        <w:t xml:space="preserve">Petitioner has made significant contributions to the community </w:t>
      </w:r>
      <w:r w:rsidR="00422BD4">
        <w:t>through</w:t>
      </w:r>
      <w:r>
        <w:t xml:space="preserve"> his public service work</w:t>
      </w:r>
      <w:r w:rsidR="00383449">
        <w:t xml:space="preserve">.  </w:t>
      </w:r>
      <w:r w:rsidR="00F10C4C">
        <w:t>Much of petitioner</w:t>
      </w:r>
      <w:r w:rsidR="00433540">
        <w:t>’</w:t>
      </w:r>
      <w:r w:rsidR="00F10C4C">
        <w:t xml:space="preserve">s community service was attested to by </w:t>
      </w:r>
      <w:r w:rsidR="00DF25F3">
        <w:t>Rev. Robert Borges</w:t>
      </w:r>
      <w:r w:rsidR="00F10C4C">
        <w:t>, the pastor of Our Lady of Perpetual Help Catholic Church in Clovis, California</w:t>
      </w:r>
      <w:r w:rsidR="00DF25F3">
        <w:t>.</w:t>
      </w:r>
      <w:r w:rsidR="00F10C4C">
        <w:t xml:space="preserve">  </w:t>
      </w:r>
      <w:r w:rsidR="00A17666">
        <w:t>Petitioner</w:t>
      </w:r>
      <w:r w:rsidR="00433540">
        <w:t>’</w:t>
      </w:r>
      <w:r w:rsidR="00336A39">
        <w:t xml:space="preserve">s services at Our </w:t>
      </w:r>
      <w:r w:rsidR="00336A39">
        <w:lastRenderedPageBreak/>
        <w:t xml:space="preserve">Lady of Perpetual Help have included, among other things, volunteering at </w:t>
      </w:r>
      <w:r w:rsidR="007F6E6A">
        <w:t>its</w:t>
      </w:r>
      <w:r w:rsidR="00336A39">
        <w:t xml:space="preserve"> parochial school and serving</w:t>
      </w:r>
      <w:r w:rsidR="00A17666">
        <w:t xml:space="preserve"> as a </w:t>
      </w:r>
      <w:r w:rsidR="00336A39">
        <w:t xml:space="preserve">youth sports </w:t>
      </w:r>
      <w:r w:rsidR="00A17666">
        <w:t xml:space="preserve">coach.  </w:t>
      </w:r>
    </w:p>
    <w:p w:rsidR="00A17666" w:rsidRDefault="00A17666" w:rsidP="00F10C4C">
      <w:pPr>
        <w:widowControl/>
        <w:spacing w:line="470" w:lineRule="exact"/>
        <w:ind w:firstLine="720"/>
      </w:pPr>
      <w:r>
        <w:t>Pursuant to the terms of his criminal probation, petitioner completed more than one thousand hours of community service.  In addition to working at his church, petitioner also served at the Fresno Rescue Mission, where he acted as a mentor for men in the shelter</w:t>
      </w:r>
      <w:r w:rsidR="00433540">
        <w:t>’</w:t>
      </w:r>
      <w:r>
        <w:t>s live-in drug and alcohol treatment program.</w:t>
      </w:r>
    </w:p>
    <w:p w:rsidR="00422BD4" w:rsidRPr="00DF25F3" w:rsidRDefault="00DB2CDC" w:rsidP="00FB1AD7">
      <w:pPr>
        <w:pStyle w:val="Level2"/>
        <w:widowControl/>
        <w:tabs>
          <w:tab w:val="left" w:pos="-1440"/>
          <w:tab w:val="num" w:pos="1440"/>
        </w:tabs>
        <w:spacing w:line="470" w:lineRule="exact"/>
        <w:rPr>
          <w:b/>
          <w:i/>
        </w:rPr>
      </w:pPr>
      <w:r>
        <w:rPr>
          <w:b/>
          <w:i/>
        </w:rPr>
        <w:t xml:space="preserve">3.  </w:t>
      </w:r>
      <w:r w:rsidR="00DE60E2">
        <w:rPr>
          <w:b/>
          <w:i/>
        </w:rPr>
        <w:t>Petitioner</w:t>
      </w:r>
      <w:r w:rsidR="00433540">
        <w:rPr>
          <w:b/>
          <w:i/>
        </w:rPr>
        <w:t>’</w:t>
      </w:r>
      <w:r w:rsidR="00DE60E2">
        <w:rPr>
          <w:b/>
          <w:i/>
        </w:rPr>
        <w:t>s Acceptance of Responsibility and Remorse</w:t>
      </w:r>
    </w:p>
    <w:p w:rsidR="00E66D81" w:rsidRDefault="00B552FE" w:rsidP="00F10C4C">
      <w:pPr>
        <w:widowControl/>
        <w:spacing w:line="470" w:lineRule="exact"/>
        <w:ind w:firstLine="720"/>
      </w:pPr>
      <w:r>
        <w:t>Petitioner has demonstrated an understanding and insight into the nature and scope of his misconduct.  He has expressed remorse and accepted responsibility for his actions.  Petitioner</w:t>
      </w:r>
      <w:r w:rsidR="00433540">
        <w:t>’</w:t>
      </w:r>
      <w:r>
        <w:t xml:space="preserve">s </w:t>
      </w:r>
      <w:r w:rsidR="00934F90">
        <w:t xml:space="preserve">strict compliance with </w:t>
      </w:r>
      <w:r w:rsidR="0055699C">
        <w:t xml:space="preserve">his disciplinary and criminal </w:t>
      </w:r>
      <w:r w:rsidR="00934F90">
        <w:t>probation conditions,</w:t>
      </w:r>
      <w:r w:rsidR="00653AA3">
        <w:t xml:space="preserve"> </w:t>
      </w:r>
      <w:r w:rsidR="00BE75C3">
        <w:t>is additional evidence of his remorse</w:t>
      </w:r>
      <w:r w:rsidR="00DF25F3">
        <w:t xml:space="preserve">. </w:t>
      </w:r>
      <w:r w:rsidR="005356E7">
        <w:t xml:space="preserve"> </w:t>
      </w:r>
    </w:p>
    <w:p w:rsidR="00E66D81" w:rsidRPr="00177680" w:rsidRDefault="00DE60E2" w:rsidP="00FB1AD7">
      <w:pPr>
        <w:pStyle w:val="Level2"/>
        <w:widowControl/>
        <w:tabs>
          <w:tab w:val="left" w:pos="-1440"/>
          <w:tab w:val="num" w:pos="1440"/>
        </w:tabs>
        <w:spacing w:line="470" w:lineRule="exact"/>
        <w:rPr>
          <w:b/>
          <w:i/>
        </w:rPr>
      </w:pPr>
      <w:r>
        <w:rPr>
          <w:b/>
          <w:i/>
        </w:rPr>
        <w:t>4</w:t>
      </w:r>
      <w:r w:rsidR="00DB2CDC">
        <w:rPr>
          <w:b/>
          <w:i/>
        </w:rPr>
        <w:t xml:space="preserve">.  </w:t>
      </w:r>
      <w:r w:rsidR="00200F28">
        <w:rPr>
          <w:b/>
          <w:i/>
        </w:rPr>
        <w:t>Petitioner</w:t>
      </w:r>
      <w:r w:rsidR="00433540">
        <w:rPr>
          <w:b/>
          <w:i/>
        </w:rPr>
        <w:t>’</w:t>
      </w:r>
      <w:r w:rsidR="00200F28">
        <w:rPr>
          <w:b/>
          <w:i/>
        </w:rPr>
        <w:t xml:space="preserve">s </w:t>
      </w:r>
      <w:r w:rsidR="00E66D81" w:rsidRPr="00177680">
        <w:rPr>
          <w:b/>
          <w:i/>
        </w:rPr>
        <w:t>Character References</w:t>
      </w:r>
    </w:p>
    <w:p w:rsidR="00D97A3F" w:rsidRDefault="00E66D81" w:rsidP="00F4641A">
      <w:pPr>
        <w:widowControl/>
        <w:spacing w:line="470" w:lineRule="exact"/>
        <w:ind w:firstLine="720"/>
      </w:pPr>
      <w:r>
        <w:t xml:space="preserve">In support of his petition, petitioner submitted </w:t>
      </w:r>
      <w:r w:rsidR="00AD199D">
        <w:t>f</w:t>
      </w:r>
      <w:r w:rsidRPr="00AD199D">
        <w:t>avorable</w:t>
      </w:r>
      <w:r>
        <w:t xml:space="preserve"> reference l</w:t>
      </w:r>
      <w:r w:rsidR="000325A1">
        <w:t>etters from</w:t>
      </w:r>
      <w:r w:rsidR="00F4641A">
        <w:t xml:space="preserve"> </w:t>
      </w:r>
      <w:r w:rsidR="00924F62">
        <w:t>H. Ronald Saw</w:t>
      </w:r>
      <w:r w:rsidR="00DF7CDE">
        <w:t>l, Esq.; Sallie Hunt</w:t>
      </w:r>
      <w:r w:rsidR="00924F62">
        <w:t>; Jonathan M. Skiles, Esq.; Michael G. Idiart, Esq.; Tracy J. Jo</w:t>
      </w:r>
      <w:r w:rsidR="00DF7CDE">
        <w:t>nes; Rev. Robert B. Borges</w:t>
      </w:r>
      <w:r w:rsidR="00924F62">
        <w:t>; Michael S. Frye, Esq.; Cynthia A. McLeod; James E. Olson; Roger T. Nuttall, Esq.; Antonio R. Alvarez, Esq.; Roberto R. Dulce, Esq.; Terry A. Wapner, Esq.; Rachel W. Hill, Esq.; Michelle L. Ganci; Michael J. Madr</w:t>
      </w:r>
      <w:r w:rsidR="004E227A">
        <w:t>igal, D.D.S.; and Steven Achey</w:t>
      </w:r>
      <w:r w:rsidR="00D97A3F">
        <w:t>.  The State Bar did not rebut any of the evidence submitted.</w:t>
      </w:r>
    </w:p>
    <w:p w:rsidR="0028186A" w:rsidRDefault="00205AB1" w:rsidP="00F4641A">
      <w:pPr>
        <w:widowControl/>
        <w:spacing w:line="470" w:lineRule="exact"/>
        <w:ind w:firstLine="720"/>
      </w:pPr>
      <w:r>
        <w:t>P</w:t>
      </w:r>
      <w:r w:rsidR="00B800C1">
        <w:t>etitioner</w:t>
      </w:r>
      <w:r w:rsidR="00433540">
        <w:t>’</w:t>
      </w:r>
      <w:r w:rsidR="00B800C1">
        <w:t>s reference</w:t>
      </w:r>
      <w:r w:rsidR="002F43AD">
        <w:t xml:space="preserve"> letters</w:t>
      </w:r>
      <w:r w:rsidR="00B800C1">
        <w:t xml:space="preserve"> </w:t>
      </w:r>
      <w:r w:rsidR="002F43AD">
        <w:t xml:space="preserve">strongly recommend </w:t>
      </w:r>
      <w:r w:rsidR="00B800C1">
        <w:t>hi</w:t>
      </w:r>
      <w:r w:rsidR="002F43AD">
        <w:t>s reinstatement to the practice of law</w:t>
      </w:r>
      <w:r>
        <w:t xml:space="preserve"> based on his character, integrity, and work ethic.  These reference letters were written by a wide variety of </w:t>
      </w:r>
      <w:r w:rsidR="009347A0">
        <w:t>authors</w:t>
      </w:r>
      <w:r>
        <w:t xml:space="preserve"> including </w:t>
      </w:r>
      <w:r w:rsidR="009347A0">
        <w:t xml:space="preserve">attorneys, </w:t>
      </w:r>
      <w:r w:rsidR="006E5426">
        <w:t xml:space="preserve">colleagues, </w:t>
      </w:r>
      <w:r w:rsidR="009347A0">
        <w:t>friends, family, and his pastor</w:t>
      </w:r>
      <w:r w:rsidR="002F43AD">
        <w:t xml:space="preserve">.  </w:t>
      </w:r>
      <w:r w:rsidR="009347A0">
        <w:t>The court finds these reference letters</w:t>
      </w:r>
      <w:r w:rsidR="002F43AD">
        <w:t xml:space="preserve"> are entitled to considerable weight.  (</w:t>
      </w:r>
      <w:r w:rsidR="002F43AD">
        <w:rPr>
          <w:i/>
        </w:rPr>
        <w:t>Feinstein v. State Bar</w:t>
      </w:r>
      <w:r w:rsidR="002F43AD">
        <w:t xml:space="preserve"> (1952) 39 Cal.2d 541, 547.)  </w:t>
      </w:r>
    </w:p>
    <w:p w:rsidR="00E66D81" w:rsidRDefault="009819AE" w:rsidP="00DB2CDC">
      <w:pPr>
        <w:widowControl/>
        <w:spacing w:line="470" w:lineRule="exact"/>
        <w:rPr>
          <w:b/>
          <w:bCs/>
        </w:rPr>
      </w:pPr>
      <w:r>
        <w:rPr>
          <w:b/>
          <w:bCs/>
        </w:rPr>
        <w:t>C</w:t>
      </w:r>
      <w:r w:rsidR="00DB2CDC">
        <w:rPr>
          <w:b/>
          <w:bCs/>
        </w:rPr>
        <w:t xml:space="preserve">. </w:t>
      </w:r>
      <w:r w:rsidR="00636FDE">
        <w:rPr>
          <w:b/>
          <w:bCs/>
        </w:rPr>
        <w:t xml:space="preserve"> </w:t>
      </w:r>
      <w:r w:rsidR="00E66D81">
        <w:rPr>
          <w:b/>
          <w:bCs/>
        </w:rPr>
        <w:t>Petitioner</w:t>
      </w:r>
      <w:r w:rsidR="00433540">
        <w:rPr>
          <w:b/>
          <w:bCs/>
        </w:rPr>
        <w:t>’</w:t>
      </w:r>
      <w:r w:rsidR="00E66D81">
        <w:rPr>
          <w:b/>
          <w:bCs/>
        </w:rPr>
        <w:t>s Present Learning and Ability in the General Law</w:t>
      </w:r>
    </w:p>
    <w:p w:rsidR="005F7DD0" w:rsidRDefault="00D07C3F" w:rsidP="00F4641A">
      <w:pPr>
        <w:widowControl/>
        <w:spacing w:line="470" w:lineRule="exact"/>
        <w:ind w:firstLine="720"/>
      </w:pPr>
      <w:r>
        <w:t xml:space="preserve">During his period of interim suspension, petitioner has maintained an active participation in the law by working for the law firm of Sawl &amp; Netzer, in a non-attorney capacity.  </w:t>
      </w:r>
      <w:r w:rsidR="005F7DD0">
        <w:t xml:space="preserve">At Sawl &amp; </w:t>
      </w:r>
      <w:r w:rsidR="005F7DD0">
        <w:lastRenderedPageBreak/>
        <w:t xml:space="preserve">Netzer, petitioner has conducted legal research; drafted discovery, motions, pleadings, and letters; and summarized records and discovery responses.  </w:t>
      </w:r>
    </w:p>
    <w:p w:rsidR="00C05427" w:rsidRDefault="005F7DD0" w:rsidP="00C05427">
      <w:pPr>
        <w:widowControl/>
        <w:spacing w:line="470" w:lineRule="exact"/>
        <w:ind w:firstLine="720"/>
      </w:pPr>
      <w:r>
        <w:t xml:space="preserve">Petitioner has also spent much of his spare time reviewing, reading, and learning the law.  </w:t>
      </w:r>
      <w:r w:rsidR="00D07C3F">
        <w:t>H</w:t>
      </w:r>
      <w:r w:rsidR="00603B4B">
        <w:t xml:space="preserve">e has read </w:t>
      </w:r>
      <w:r w:rsidR="00D07C3F">
        <w:t>literature</w:t>
      </w:r>
      <w:r w:rsidR="00603B4B">
        <w:t xml:space="preserve"> </w:t>
      </w:r>
      <w:r w:rsidR="00D07C3F">
        <w:t xml:space="preserve">on evidence, </w:t>
      </w:r>
      <w:r w:rsidR="00603B4B">
        <w:t>civil procedure</w:t>
      </w:r>
      <w:r w:rsidR="00D07C3F">
        <w:t>, contracts, and discovery</w:t>
      </w:r>
      <w:r w:rsidR="00603B4B">
        <w:t>.  Petitioner has also gone to court to observe friends</w:t>
      </w:r>
      <w:r w:rsidR="00433540">
        <w:t>’</w:t>
      </w:r>
      <w:r w:rsidR="00603B4B">
        <w:t xml:space="preserve"> and colleagues</w:t>
      </w:r>
      <w:r w:rsidR="00433540">
        <w:t>’</w:t>
      </w:r>
      <w:r w:rsidR="00603B4B">
        <w:t xml:space="preserve"> trials and motions.  </w:t>
      </w:r>
      <w:r w:rsidR="00D07C3F">
        <w:t>As noted above</w:t>
      </w:r>
      <w:r w:rsidR="00565204">
        <w:t>, p</w:t>
      </w:r>
      <w:r w:rsidR="002E4C68">
        <w:t xml:space="preserve">etitioner </w:t>
      </w:r>
      <w:r w:rsidR="00D07C3F">
        <w:t xml:space="preserve">also </w:t>
      </w:r>
      <w:r w:rsidR="00565204">
        <w:t>took</w:t>
      </w:r>
      <w:r w:rsidR="002E4C68">
        <w:t xml:space="preserve"> and pa</w:t>
      </w:r>
      <w:r w:rsidR="00565204">
        <w:t>s</w:t>
      </w:r>
      <w:r w:rsidR="002E4C68">
        <w:t xml:space="preserve">sed the </w:t>
      </w:r>
      <w:r w:rsidR="00D07C3F">
        <w:t>MPRE and completed</w:t>
      </w:r>
      <w:r w:rsidR="001520BA">
        <w:t xml:space="preserve"> the State Bar</w:t>
      </w:r>
      <w:r w:rsidR="00433540">
        <w:t>’</w:t>
      </w:r>
      <w:r w:rsidR="00D07C3F">
        <w:t>s</w:t>
      </w:r>
      <w:r w:rsidR="001520BA">
        <w:t xml:space="preserve"> Ethics School </w:t>
      </w:r>
      <w:r w:rsidR="00D07C3F">
        <w:t>in 2010</w:t>
      </w:r>
      <w:r w:rsidR="00DF25F3">
        <w:t xml:space="preserve">. </w:t>
      </w:r>
      <w:r w:rsidR="00D5176E">
        <w:t xml:space="preserve"> </w:t>
      </w:r>
    </w:p>
    <w:p w:rsidR="00C05427" w:rsidRPr="00C05427" w:rsidRDefault="00C05427" w:rsidP="00C05427">
      <w:pPr>
        <w:widowControl/>
        <w:spacing w:line="470" w:lineRule="exact"/>
        <w:jc w:val="center"/>
        <w:rPr>
          <w:b/>
        </w:rPr>
      </w:pPr>
      <w:r w:rsidRPr="00C05427">
        <w:rPr>
          <w:b/>
        </w:rPr>
        <w:t>IV.  Discussion</w:t>
      </w:r>
    </w:p>
    <w:p w:rsidR="0012289B" w:rsidRDefault="004C7138" w:rsidP="0012289B">
      <w:pPr>
        <w:widowControl/>
        <w:spacing w:line="470" w:lineRule="exact"/>
        <w:ind w:firstLine="720"/>
      </w:pPr>
      <w:r w:rsidRPr="00FE7395">
        <w:t xml:space="preserve">In this proceeding, </w:t>
      </w:r>
      <w:r w:rsidR="009A1FB2">
        <w:t>p</w:t>
      </w:r>
      <w:r w:rsidRPr="00FE7395">
        <w:t>etitioner has the burden of proving by a prep</w:t>
      </w:r>
      <w:r w:rsidR="009A1FB2">
        <w:t xml:space="preserve">onderance of the evidence that </w:t>
      </w:r>
      <w:r w:rsidRPr="00FE7395">
        <w:t xml:space="preserve">he has satisfied the conditions of standard 1.4(c)(ii).  The </w:t>
      </w:r>
      <w:r w:rsidR="009A1FB2">
        <w:t>c</w:t>
      </w:r>
      <w:r w:rsidRPr="00FE7395">
        <w:t xml:space="preserve">ourt looks to the nature of the underlying misconduct as well as the aggravating and mitigating circumstances surrounding it to determine the point from which to measure </w:t>
      </w:r>
      <w:r w:rsidR="009A1FB2">
        <w:t>p</w:t>
      </w:r>
      <w:r w:rsidRPr="00FE7395">
        <w:t>etitioner</w:t>
      </w:r>
      <w:r w:rsidR="00433540">
        <w:t>’</w:t>
      </w:r>
      <w:r w:rsidRPr="00FE7395">
        <w:t>s rehabilitation, present learning and ability in the general law, and present fitness to practic</w:t>
      </w:r>
      <w:r w:rsidR="009A1FB2">
        <w:t>e before being relieved from his</w:t>
      </w:r>
      <w:r w:rsidRPr="00FE7395">
        <w:t xml:space="preserve"> actual suspension. </w:t>
      </w:r>
      <w:r w:rsidR="009A1FB2">
        <w:t xml:space="preserve"> </w:t>
      </w:r>
      <w:r w:rsidRPr="00FE7395">
        <w:t>(</w:t>
      </w:r>
      <w:r w:rsidRPr="00FE7395">
        <w:rPr>
          <w:i/>
          <w:iCs/>
        </w:rPr>
        <w:t>In the Matter of Murphy</w:t>
      </w:r>
      <w:r w:rsidRPr="00FE7395">
        <w:t xml:space="preserve"> (Review Dept. 1997) 3 Cal. State Bar Ct. Rptr. 571, 578.)</w:t>
      </w:r>
    </w:p>
    <w:p w:rsidR="0012289B" w:rsidRDefault="004C7138" w:rsidP="0012289B">
      <w:pPr>
        <w:widowControl/>
        <w:spacing w:line="470" w:lineRule="exact"/>
        <w:ind w:firstLine="720"/>
      </w:pPr>
      <w:r w:rsidRPr="00FE7395">
        <w:t xml:space="preserve">To establish rehabilitation, the </w:t>
      </w:r>
      <w:r w:rsidR="009D4AFC">
        <w:t>c</w:t>
      </w:r>
      <w:r w:rsidRPr="00FE7395">
        <w:t xml:space="preserve">ourt must first consider the prior misconduct from which </w:t>
      </w:r>
      <w:r w:rsidR="00054F6F">
        <w:t>p</w:t>
      </w:r>
      <w:r w:rsidRPr="00FE7395">
        <w:t xml:space="preserve">etitioner seeks to show rehabilitation.  The amount of evidence of rehabilitation varies according to the seriousness of the misconduct at issue.  Second, the </w:t>
      </w:r>
      <w:r w:rsidR="009D4AFC">
        <w:t>c</w:t>
      </w:r>
      <w:r w:rsidRPr="00FE7395">
        <w:t xml:space="preserve">ourt must examine </w:t>
      </w:r>
      <w:r w:rsidR="009D4AFC">
        <w:t>p</w:t>
      </w:r>
      <w:r w:rsidRPr="00FE7395">
        <w:t>etitioner</w:t>
      </w:r>
      <w:r w:rsidR="00433540">
        <w:t>’</w:t>
      </w:r>
      <w:r w:rsidRPr="00FE7395">
        <w:t>s act</w:t>
      </w:r>
      <w:r w:rsidR="009D4AFC">
        <w:t>ions since the imposition of his</w:t>
      </w:r>
      <w:r w:rsidRPr="00FE7395">
        <w:t xml:space="preserve"> dis</w:t>
      </w:r>
      <w:r w:rsidR="009D4AFC">
        <w:t>cipline to determine whether his</w:t>
      </w:r>
      <w:r w:rsidRPr="00FE7395">
        <w:t xml:space="preserve"> actions, in light of the prior misconduct, sufficiently demonstrate rehabilitation by a preponderance of the evidence. </w:t>
      </w:r>
      <w:r w:rsidR="009D4AFC">
        <w:t xml:space="preserve"> </w:t>
      </w:r>
      <w:r w:rsidRPr="00FE7395">
        <w:rPr>
          <w:i/>
          <w:iCs/>
        </w:rPr>
        <w:t>(In the Matter of Murphy</w:t>
      </w:r>
      <w:r w:rsidRPr="00FE7395">
        <w:t xml:space="preserve">, </w:t>
      </w:r>
      <w:r w:rsidRPr="00FE7395">
        <w:rPr>
          <w:i/>
          <w:iCs/>
        </w:rPr>
        <w:t>supra</w:t>
      </w:r>
      <w:r w:rsidRPr="00FE7395">
        <w:t>, 3 Cal. State Bar Ct. Rptr. at p. 581.)</w:t>
      </w:r>
    </w:p>
    <w:p w:rsidR="00EB25D7" w:rsidRDefault="004C7138" w:rsidP="00EB25D7">
      <w:pPr>
        <w:widowControl/>
        <w:spacing w:line="470" w:lineRule="exact"/>
        <w:ind w:firstLine="720"/>
      </w:pPr>
      <w:r w:rsidRPr="00FE7395">
        <w:t>Petitioner must show strict compliance with the terms of probation in the underlying</w:t>
      </w:r>
      <w:r>
        <w:t xml:space="preserve"> </w:t>
      </w:r>
      <w:r w:rsidRPr="00FE7395">
        <w:t xml:space="preserve">disciplinary matter; exemplary conduct from the time of the imposition of the prior discipline; and </w:t>
      </w:r>
      <w:r w:rsidR="00433540">
        <w:t>“</w:t>
      </w:r>
      <w:r w:rsidRPr="00FE7395">
        <w:t>that the conduct evidencing rehabilitation is such that the court may make a determination that the conduct leading to the discipline ..</w:t>
      </w:r>
      <w:r w:rsidR="009E5B5E">
        <w:t>. is not likely to be repeated.</w:t>
      </w:r>
      <w:r w:rsidR="00433540">
        <w:t>”</w:t>
      </w:r>
      <w:r w:rsidR="009E5B5E">
        <w:t xml:space="preserve"> </w:t>
      </w:r>
      <w:r w:rsidRPr="00FE7395">
        <w:t xml:space="preserve"> </w:t>
      </w:r>
      <w:r w:rsidRPr="00FE7395">
        <w:rPr>
          <w:i/>
          <w:iCs/>
        </w:rPr>
        <w:t>(In the</w:t>
      </w:r>
      <w:r>
        <w:rPr>
          <w:i/>
          <w:iCs/>
        </w:rPr>
        <w:t xml:space="preserve"> </w:t>
      </w:r>
      <w:r w:rsidRPr="00FE7395">
        <w:rPr>
          <w:i/>
          <w:iCs/>
        </w:rPr>
        <w:t>Matter of Murphy</w:t>
      </w:r>
      <w:r w:rsidRPr="00FE7395">
        <w:t xml:space="preserve">, </w:t>
      </w:r>
      <w:r w:rsidRPr="00FE7395">
        <w:rPr>
          <w:i/>
          <w:iCs/>
        </w:rPr>
        <w:t>supra</w:t>
      </w:r>
      <w:r w:rsidRPr="00FE7395">
        <w:t>, 3 Cal. State Bar Ct. Rptr. at p. 581.)</w:t>
      </w:r>
    </w:p>
    <w:p w:rsidR="00EB25D7" w:rsidRDefault="004C7138" w:rsidP="00EB25D7">
      <w:pPr>
        <w:widowControl/>
        <w:spacing w:line="470" w:lineRule="exact"/>
        <w:ind w:firstLine="720"/>
      </w:pPr>
      <w:r w:rsidRPr="00FE7395">
        <w:t>Petitioner has complied with all</w:t>
      </w:r>
      <w:r w:rsidR="00EE31D7">
        <w:t xml:space="preserve"> the terms and conditions of his</w:t>
      </w:r>
      <w:r w:rsidRPr="00FE7395">
        <w:t xml:space="preserve"> </w:t>
      </w:r>
      <w:r w:rsidR="000E3738">
        <w:t xml:space="preserve">disciplinary </w:t>
      </w:r>
      <w:r w:rsidRPr="00FE7395">
        <w:t xml:space="preserve">probation.  </w:t>
      </w:r>
      <w:r w:rsidR="00EE31D7">
        <w:t>He</w:t>
      </w:r>
      <w:r w:rsidRPr="00FE7395">
        <w:t xml:space="preserve"> has active</w:t>
      </w:r>
      <w:r w:rsidR="00EB25D7">
        <w:t>ly</w:t>
      </w:r>
      <w:r w:rsidRPr="00FE7395">
        <w:t xml:space="preserve"> participat</w:t>
      </w:r>
      <w:r w:rsidR="00433540">
        <w:t>ed</w:t>
      </w:r>
      <w:r w:rsidRPr="00FE7395">
        <w:t xml:space="preserve"> in </w:t>
      </w:r>
      <w:r w:rsidR="00EB25D7">
        <w:t xml:space="preserve">and studied the </w:t>
      </w:r>
      <w:r w:rsidRPr="00FE7395">
        <w:t>law</w:t>
      </w:r>
      <w:r w:rsidR="00EB25D7">
        <w:t>,</w:t>
      </w:r>
      <w:r w:rsidRPr="00FE7395">
        <w:t xml:space="preserve"> and has </w:t>
      </w:r>
      <w:r w:rsidR="00EE31D7">
        <w:t>satisfactorily completed the State Bar</w:t>
      </w:r>
      <w:r w:rsidR="00433540">
        <w:t>’</w:t>
      </w:r>
      <w:r w:rsidR="00EE31D7">
        <w:t>s Ethics School and the MPRE</w:t>
      </w:r>
      <w:r w:rsidRPr="00FE7395">
        <w:t xml:space="preserve">.  </w:t>
      </w:r>
    </w:p>
    <w:p w:rsidR="00142C6C" w:rsidRDefault="004C7138" w:rsidP="00142C6C">
      <w:pPr>
        <w:widowControl/>
        <w:spacing w:line="470" w:lineRule="exact"/>
        <w:ind w:firstLine="720"/>
      </w:pPr>
      <w:r w:rsidRPr="00FE7395">
        <w:lastRenderedPageBreak/>
        <w:t xml:space="preserve">More importantly, </w:t>
      </w:r>
      <w:r w:rsidR="00142C6C">
        <w:t>the authors of petitioner</w:t>
      </w:r>
      <w:r w:rsidR="00433540">
        <w:t>’</w:t>
      </w:r>
      <w:r w:rsidR="00142C6C">
        <w:t>s reference letters</w:t>
      </w:r>
      <w:r w:rsidRPr="00FE7395">
        <w:t>, m</w:t>
      </w:r>
      <w:r w:rsidR="00142C6C">
        <w:t>any</w:t>
      </w:r>
      <w:r w:rsidRPr="00FE7395">
        <w:t xml:space="preserve"> of whom are pr</w:t>
      </w:r>
      <w:r w:rsidR="00EE31D7">
        <w:t xml:space="preserve">acticing attorneys, agree that he is stable, </w:t>
      </w:r>
      <w:r w:rsidRPr="00FE7395">
        <w:t>fit</w:t>
      </w:r>
      <w:r w:rsidR="00EE31D7">
        <w:t>, and ready</w:t>
      </w:r>
      <w:r w:rsidRPr="00FE7395">
        <w:t xml:space="preserve"> to </w:t>
      </w:r>
      <w:r w:rsidR="00EE31D7">
        <w:t xml:space="preserve">resume the </w:t>
      </w:r>
      <w:r w:rsidRPr="00FE7395">
        <w:t>practice</w:t>
      </w:r>
      <w:r w:rsidR="00EE31D7">
        <w:t xml:space="preserve"> of law</w:t>
      </w:r>
      <w:r w:rsidRPr="00FE7395">
        <w:t xml:space="preserve">.  The </w:t>
      </w:r>
      <w:r w:rsidR="00A06FDC">
        <w:t>c</w:t>
      </w:r>
      <w:r w:rsidRPr="00FE7395">
        <w:t xml:space="preserve">ourt properly gave great weight to the </w:t>
      </w:r>
      <w:r w:rsidR="00A06FDC">
        <w:t>reference letters written on petitioner</w:t>
      </w:r>
      <w:r w:rsidR="00433540">
        <w:t>’</w:t>
      </w:r>
      <w:r w:rsidR="00A06FDC">
        <w:t>s behalf by attorneys</w:t>
      </w:r>
      <w:r w:rsidRPr="00FE7395">
        <w:t xml:space="preserve">, who have </w:t>
      </w:r>
      <w:r w:rsidR="00142C6C">
        <w:t xml:space="preserve">a </w:t>
      </w:r>
      <w:r w:rsidRPr="00FE7395">
        <w:t>special interest in the ethical requirements</w:t>
      </w:r>
      <w:r w:rsidR="00142C6C">
        <w:t xml:space="preserve"> of the profession</w:t>
      </w:r>
      <w:r w:rsidRPr="00FE7395">
        <w:t>.  (</w:t>
      </w:r>
      <w:r w:rsidRPr="00FE7395">
        <w:rPr>
          <w:i/>
          <w:iCs/>
        </w:rPr>
        <w:t>Cf</w:t>
      </w:r>
      <w:r w:rsidRPr="00FE7395">
        <w:t xml:space="preserve">., </w:t>
      </w:r>
      <w:r w:rsidRPr="00FE7395">
        <w:rPr>
          <w:i/>
          <w:iCs/>
        </w:rPr>
        <w:t>Hippard v. State Bar</w:t>
      </w:r>
      <w:r w:rsidRPr="00FE7395">
        <w:t xml:space="preserve"> (1989) 49 Cal.3d 1084, 1095.)  </w:t>
      </w:r>
      <w:r w:rsidR="00142C6C">
        <w:t>Attorneys</w:t>
      </w:r>
      <w:r w:rsidRPr="00FE7395">
        <w:t xml:space="preserve"> have a keen sense of responsibility for the integrity of the legal profession and would not recommend an unfit individual for admission.  (</w:t>
      </w:r>
      <w:r w:rsidRPr="00FE7395">
        <w:rPr>
          <w:i/>
          <w:iCs/>
        </w:rPr>
        <w:t>In re Menna</w:t>
      </w:r>
      <w:r w:rsidRPr="00FE7395">
        <w:t xml:space="preserve"> (1995) 11 Cal.4th 975, 988.)  </w:t>
      </w:r>
    </w:p>
    <w:p w:rsidR="004C7138" w:rsidRPr="00FE7395" w:rsidRDefault="004C7138" w:rsidP="00142C6C">
      <w:pPr>
        <w:widowControl/>
        <w:spacing w:line="470" w:lineRule="exact"/>
        <w:ind w:firstLine="720"/>
      </w:pPr>
      <w:r w:rsidRPr="00FE7395">
        <w:t>No evidence has been presented indicating less than exemplary conduct from the time of the imposi</w:t>
      </w:r>
      <w:r w:rsidR="00783CF7">
        <w:t>tion of the prior discipline; and i</w:t>
      </w:r>
      <w:r w:rsidRPr="00FE7395">
        <w:t xml:space="preserve">t appears to the </w:t>
      </w:r>
      <w:r w:rsidR="007E456B">
        <w:t>c</w:t>
      </w:r>
      <w:r w:rsidRPr="00FE7395">
        <w:t xml:space="preserve">ourt that the conduct leading to the discipline is not likely to be repeated.  Therefore, based on the above, the </w:t>
      </w:r>
      <w:r w:rsidR="007E456B">
        <w:t>c</w:t>
      </w:r>
      <w:r w:rsidRPr="00FE7395">
        <w:t xml:space="preserve">ourt finds that </w:t>
      </w:r>
      <w:r w:rsidR="007E456B">
        <w:t>p</w:t>
      </w:r>
      <w:r w:rsidRPr="00FE7395">
        <w:t>etitioner has demonstrated, by a p</w:t>
      </w:r>
      <w:r w:rsidR="007E456B">
        <w:t xml:space="preserve">reponderance of evidence, that </w:t>
      </w:r>
      <w:r w:rsidRPr="00FE7395">
        <w:t>he is rehabilitated, has present fitness to practice law, and has present learning and ability in the general law.</w:t>
      </w:r>
    </w:p>
    <w:p w:rsidR="00E66D81" w:rsidRDefault="00E66D81" w:rsidP="000C39F8">
      <w:pPr>
        <w:widowControl/>
        <w:tabs>
          <w:tab w:val="center" w:pos="4725"/>
        </w:tabs>
        <w:spacing w:line="470" w:lineRule="exact"/>
        <w:jc w:val="center"/>
        <w:rPr>
          <w:rStyle w:val="Hyperlink"/>
          <w:color w:val="000000"/>
        </w:rPr>
      </w:pPr>
      <w:r>
        <w:rPr>
          <w:rStyle w:val="Hyperlink"/>
          <w:b/>
          <w:bCs/>
          <w:color w:val="000000"/>
        </w:rPr>
        <w:t>V.  Conclusion</w:t>
      </w:r>
    </w:p>
    <w:p w:rsidR="00E66D81" w:rsidRDefault="00E66D81" w:rsidP="000C39F8">
      <w:pPr>
        <w:widowControl/>
        <w:spacing w:line="470" w:lineRule="exact"/>
        <w:ind w:firstLine="720"/>
        <w:rPr>
          <w:rStyle w:val="Hyperlink"/>
          <w:color w:val="000000"/>
        </w:rPr>
      </w:pPr>
      <w:r>
        <w:rPr>
          <w:rStyle w:val="Hyperlink"/>
          <w:color w:val="000000"/>
        </w:rPr>
        <w:t>The court finds that petitioner has satisfied the requirements of standard 1.4(c)(ii) and that he has demonstrated, by a preponderance of the evidence and to the satisfaction of this court, that he is rehabilitated, that he is presently fit to practice law, and that he has present learning and ability in the general law.</w:t>
      </w:r>
    </w:p>
    <w:p w:rsidR="00E66D81" w:rsidRPr="00BA7044" w:rsidRDefault="00E66D81" w:rsidP="000C39F8">
      <w:pPr>
        <w:widowControl/>
        <w:spacing w:line="470" w:lineRule="exact"/>
        <w:ind w:firstLine="720"/>
        <w:rPr>
          <w:rStyle w:val="Hyperlink"/>
          <w:color w:val="000000"/>
          <w:u w:val="single"/>
        </w:rPr>
      </w:pPr>
      <w:r>
        <w:rPr>
          <w:rStyle w:val="Hyperlink"/>
          <w:color w:val="000000"/>
        </w:rPr>
        <w:t>Accordingly, petitioner</w:t>
      </w:r>
      <w:r w:rsidR="00433540">
        <w:rPr>
          <w:rStyle w:val="Hyperlink"/>
          <w:color w:val="000000"/>
        </w:rPr>
        <w:t>’</w:t>
      </w:r>
      <w:r>
        <w:rPr>
          <w:rStyle w:val="Hyperlink"/>
          <w:color w:val="000000"/>
        </w:rPr>
        <w:t xml:space="preserve">s petition for relief from actual suspension is hereby </w:t>
      </w:r>
      <w:r w:rsidR="00F467AD" w:rsidRPr="00F467AD">
        <w:rPr>
          <w:rStyle w:val="Hyperlink"/>
          <w:b/>
          <w:color w:val="000000"/>
        </w:rPr>
        <w:t>GRANTED</w:t>
      </w:r>
      <w:r w:rsidR="00BA7044">
        <w:rPr>
          <w:rStyle w:val="Hyperlink"/>
          <w:color w:val="000000"/>
        </w:rPr>
        <w:t xml:space="preserve">.  Upon the finality of this decision, petitioner’s actual suspension from the practice of law pursuant to standard 1.4(c)(ii) is terminated.  </w:t>
      </w:r>
    </w:p>
    <w:p w:rsidR="00E737EE" w:rsidRDefault="00E737EE">
      <w:pPr>
        <w:widowControl/>
        <w:spacing w:line="470" w:lineRule="exact"/>
        <w:jc w:val="both"/>
        <w:rPr>
          <w:rStyle w:val="Hyperlink"/>
          <w:color w:val="000000"/>
        </w:rPr>
      </w:pPr>
    </w:p>
    <w:p w:rsidR="00B14DBB" w:rsidRDefault="00B14DBB">
      <w:pPr>
        <w:widowControl/>
        <w:spacing w:line="470" w:lineRule="exact"/>
        <w:jc w:val="both"/>
        <w:rPr>
          <w:rStyle w:val="Hyperlink"/>
          <w:color w:val="000000"/>
        </w:rPr>
      </w:pPr>
    </w:p>
    <w:tbl>
      <w:tblPr>
        <w:tblW w:w="0" w:type="auto"/>
        <w:tblInd w:w="-37" w:type="dxa"/>
        <w:tblLayout w:type="fixed"/>
        <w:tblCellMar>
          <w:left w:w="0" w:type="dxa"/>
          <w:right w:w="0" w:type="dxa"/>
        </w:tblCellMar>
        <w:tblLook w:val="0000"/>
      </w:tblPr>
      <w:tblGrid>
        <w:gridCol w:w="4803"/>
        <w:gridCol w:w="4646"/>
      </w:tblGrid>
      <w:tr w:rsidR="00E66D81">
        <w:tc>
          <w:tcPr>
            <w:tcW w:w="4803" w:type="dxa"/>
            <w:tcBorders>
              <w:top w:val="single" w:sz="6" w:space="0" w:color="FFFFFF"/>
              <w:left w:val="single" w:sz="6" w:space="0" w:color="FFFFFF"/>
              <w:bottom w:val="single" w:sz="6" w:space="0" w:color="FFFFFF"/>
              <w:right w:val="single" w:sz="6" w:space="0" w:color="FFFFFF"/>
            </w:tcBorders>
          </w:tcPr>
          <w:p w:rsidR="00E66D81" w:rsidRDefault="00E66D81" w:rsidP="000C39F8">
            <w:pPr>
              <w:widowControl/>
              <w:spacing w:after="120" w:line="235" w:lineRule="exact"/>
              <w:rPr>
                <w:rStyle w:val="Hyperlink"/>
                <w:color w:val="000000"/>
              </w:rPr>
            </w:pPr>
            <w:r>
              <w:rPr>
                <w:rStyle w:val="Hyperlink"/>
                <w:color w:val="000000"/>
              </w:rPr>
              <w:t xml:space="preserve">Dated: </w:t>
            </w:r>
            <w:bookmarkStart w:id="6" w:name="Date"/>
            <w:bookmarkEnd w:id="6"/>
            <w:r>
              <w:rPr>
                <w:rStyle w:val="Hyperlink"/>
                <w:color w:val="000000"/>
              </w:rPr>
              <w:t xml:space="preserve"> </w:t>
            </w:r>
            <w:r w:rsidR="0009598E">
              <w:rPr>
                <w:rStyle w:val="Hyperlink"/>
                <w:color w:val="000000"/>
              </w:rPr>
              <w:t xml:space="preserve">January </w:t>
            </w:r>
            <w:r w:rsidR="000C39F8">
              <w:rPr>
                <w:rStyle w:val="Hyperlink"/>
                <w:color w:val="000000"/>
              </w:rPr>
              <w:t>___</w:t>
            </w:r>
            <w:r w:rsidR="0009598E">
              <w:rPr>
                <w:rStyle w:val="Hyperlink"/>
                <w:color w:val="000000"/>
              </w:rPr>
              <w:t>, 2011</w:t>
            </w:r>
          </w:p>
        </w:tc>
        <w:tc>
          <w:tcPr>
            <w:tcW w:w="4646" w:type="dxa"/>
            <w:tcBorders>
              <w:top w:val="single" w:sz="7" w:space="0" w:color="000000"/>
              <w:left w:val="single" w:sz="6" w:space="0" w:color="FFFFFF"/>
              <w:bottom w:val="single" w:sz="6" w:space="0" w:color="FFFFFF"/>
              <w:right w:val="single" w:sz="6" w:space="0" w:color="FFFFFF"/>
            </w:tcBorders>
          </w:tcPr>
          <w:p w:rsidR="00E66D81" w:rsidRDefault="00E66D81">
            <w:pPr>
              <w:spacing w:line="120" w:lineRule="exact"/>
              <w:rPr>
                <w:rStyle w:val="Hyperlink"/>
                <w:color w:val="000000"/>
              </w:rPr>
            </w:pPr>
          </w:p>
          <w:p w:rsidR="00E66D81" w:rsidRDefault="00E66D81">
            <w:pPr>
              <w:widowControl/>
              <w:spacing w:line="235" w:lineRule="exact"/>
              <w:rPr>
                <w:rStyle w:val="Hyperlink"/>
                <w:color w:val="000000"/>
              </w:rPr>
            </w:pPr>
            <w:bookmarkStart w:id="7" w:name="Judge"/>
            <w:bookmarkEnd w:id="7"/>
            <w:r>
              <w:rPr>
                <w:rStyle w:val="Hyperlink"/>
                <w:b/>
                <w:bCs/>
                <w:color w:val="000000"/>
              </w:rPr>
              <w:t xml:space="preserve">PAT McELROY </w:t>
            </w:r>
          </w:p>
          <w:p w:rsidR="00E66D81" w:rsidRDefault="00E66D81">
            <w:pPr>
              <w:widowControl/>
              <w:spacing w:after="120" w:line="235" w:lineRule="exact"/>
              <w:rPr>
                <w:rStyle w:val="Hyperlink"/>
                <w:color w:val="000000"/>
              </w:rPr>
            </w:pPr>
            <w:r>
              <w:rPr>
                <w:rStyle w:val="Hyperlink"/>
                <w:color w:val="000000"/>
              </w:rPr>
              <w:t>Judge of the State Bar Court</w:t>
            </w:r>
          </w:p>
        </w:tc>
      </w:tr>
    </w:tbl>
    <w:p w:rsidR="00E66D81" w:rsidRDefault="00E66D81">
      <w:pPr>
        <w:widowControl/>
        <w:spacing w:line="235" w:lineRule="exact"/>
        <w:jc w:val="both"/>
        <w:rPr>
          <w:rStyle w:val="Hyperlink"/>
          <w:color w:val="0000FF"/>
        </w:rPr>
      </w:pPr>
    </w:p>
    <w:p w:rsidR="001B7A99" w:rsidRDefault="001B7A99" w:rsidP="007D1B94">
      <w:pPr>
        <w:widowControl/>
        <w:spacing w:before="240" w:line="235" w:lineRule="exact"/>
        <w:jc w:val="both"/>
        <w:rPr>
          <w:rStyle w:val="Hyperlink"/>
          <w:color w:val="0000FF"/>
        </w:rPr>
      </w:pPr>
    </w:p>
    <w:sectPr w:rsidR="001B7A99" w:rsidSect="00E66D81">
      <w:footerReference w:type="default" r:id="rId8"/>
      <w:type w:val="continuous"/>
      <w:pgSz w:w="12240" w:h="15840"/>
      <w:pgMar w:top="1440" w:right="1350" w:bottom="36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5D" w:rsidRDefault="00E3595D" w:rsidP="00E66D81">
      <w:r>
        <w:separator/>
      </w:r>
    </w:p>
  </w:endnote>
  <w:endnote w:type="continuationSeparator" w:id="0">
    <w:p w:rsidR="00E3595D" w:rsidRDefault="00E3595D" w:rsidP="00E66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D7" w:rsidRDefault="00EB25D7">
    <w:pPr>
      <w:spacing w:line="732" w:lineRule="exact"/>
    </w:pPr>
  </w:p>
  <w:p w:rsidR="00EB25D7" w:rsidRDefault="00EB25D7">
    <w:pPr>
      <w:framePr w:w="9361" w:wrap="notBeside" w:vAnchor="text" w:hAnchor="text" w:x="1" w:y="1"/>
      <w:jc w:val="center"/>
    </w:pPr>
    <w:r>
      <w:sym w:font="Symbol" w:char="F02D"/>
    </w:r>
    <w:fldSimple w:instr="PAGE ">
      <w:r w:rsidR="00BE06AF">
        <w:rPr>
          <w:noProof/>
        </w:rPr>
        <w:t>1</w:t>
      </w:r>
    </w:fldSimple>
    <w:r>
      <w:sym w:font="Symbol" w:char="F02D"/>
    </w:r>
  </w:p>
  <w:p w:rsidR="00EB25D7" w:rsidRDefault="00EB25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5D" w:rsidRDefault="00E3595D" w:rsidP="00E66D81">
      <w:r>
        <w:separator/>
      </w:r>
    </w:p>
  </w:footnote>
  <w:footnote w:type="continuationSeparator" w:id="0">
    <w:p w:rsidR="00E3595D" w:rsidRDefault="00E3595D" w:rsidP="00E66D81">
      <w:r>
        <w:continuationSeparator/>
      </w:r>
    </w:p>
  </w:footnote>
  <w:footnote w:id="1">
    <w:p w:rsidR="00EB25D7" w:rsidRPr="009E7CA0" w:rsidRDefault="00EB25D7" w:rsidP="00A62D94">
      <w:pPr>
        <w:pStyle w:val="FootnoteText"/>
        <w:ind w:firstLine="720"/>
        <w:rPr>
          <w:sz w:val="24"/>
          <w:szCs w:val="24"/>
        </w:rPr>
      </w:pPr>
      <w:r w:rsidRPr="009E7CA0">
        <w:rPr>
          <w:rStyle w:val="FootnoteReference"/>
          <w:sz w:val="24"/>
          <w:szCs w:val="24"/>
          <w:vertAlign w:val="superscript"/>
        </w:rPr>
        <w:footnoteRef/>
      </w:r>
      <w:r>
        <w:rPr>
          <w:sz w:val="24"/>
          <w:szCs w:val="24"/>
        </w:rPr>
        <w:t>All further references to standard(s)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8"/>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2"/>
      <w:lvl w:ilvl="2">
        <w:start w:val="2"/>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3"/>
      <w:lvl w:ilvl="0">
        <w:start w:val="3"/>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3"/>
      <w:lvl w:ilvl="0">
        <w:start w:val="3"/>
        <w:numFmt w:val="lowerLetter"/>
        <w:lvlText w:val="%1."/>
        <w:lvlJc w:val="left"/>
      </w:lvl>
    </w:lvlOverride>
    <w:lvlOverride w:ilvl="1">
      <w:startOverride w:val="2"/>
      <w:lvl w:ilvl="1">
        <w:start w:val="2"/>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D81"/>
    <w:rsid w:val="00001CCD"/>
    <w:rsid w:val="00004E99"/>
    <w:rsid w:val="000056AC"/>
    <w:rsid w:val="00012AFF"/>
    <w:rsid w:val="00017440"/>
    <w:rsid w:val="000325A1"/>
    <w:rsid w:val="00033684"/>
    <w:rsid w:val="00054024"/>
    <w:rsid w:val="00054F6F"/>
    <w:rsid w:val="00055086"/>
    <w:rsid w:val="00055D27"/>
    <w:rsid w:val="00056F7B"/>
    <w:rsid w:val="000618FC"/>
    <w:rsid w:val="00064879"/>
    <w:rsid w:val="00070A4F"/>
    <w:rsid w:val="0009598E"/>
    <w:rsid w:val="000A009B"/>
    <w:rsid w:val="000A3920"/>
    <w:rsid w:val="000B1645"/>
    <w:rsid w:val="000C39F8"/>
    <w:rsid w:val="000C64DF"/>
    <w:rsid w:val="000D2752"/>
    <w:rsid w:val="000D3083"/>
    <w:rsid w:val="000D71D7"/>
    <w:rsid w:val="000D7545"/>
    <w:rsid w:val="000E19FE"/>
    <w:rsid w:val="000E3738"/>
    <w:rsid w:val="00111276"/>
    <w:rsid w:val="0012289B"/>
    <w:rsid w:val="00123481"/>
    <w:rsid w:val="00140D2B"/>
    <w:rsid w:val="00142C6C"/>
    <w:rsid w:val="001446D4"/>
    <w:rsid w:val="0015104B"/>
    <w:rsid w:val="001517DD"/>
    <w:rsid w:val="001520BA"/>
    <w:rsid w:val="00164834"/>
    <w:rsid w:val="00164FF1"/>
    <w:rsid w:val="00177680"/>
    <w:rsid w:val="0018426E"/>
    <w:rsid w:val="001869DD"/>
    <w:rsid w:val="0019498C"/>
    <w:rsid w:val="001A1088"/>
    <w:rsid w:val="001B3497"/>
    <w:rsid w:val="001B4E8C"/>
    <w:rsid w:val="001B7A99"/>
    <w:rsid w:val="001C29A2"/>
    <w:rsid w:val="001C4CCF"/>
    <w:rsid w:val="001D3C52"/>
    <w:rsid w:val="001D69CB"/>
    <w:rsid w:val="001E04FA"/>
    <w:rsid w:val="001F01AD"/>
    <w:rsid w:val="001F1739"/>
    <w:rsid w:val="001F5D74"/>
    <w:rsid w:val="00200F28"/>
    <w:rsid w:val="00205AB1"/>
    <w:rsid w:val="00227581"/>
    <w:rsid w:val="0023099B"/>
    <w:rsid w:val="00245FCE"/>
    <w:rsid w:val="00247510"/>
    <w:rsid w:val="00247A58"/>
    <w:rsid w:val="0025721A"/>
    <w:rsid w:val="00257A7D"/>
    <w:rsid w:val="0028186A"/>
    <w:rsid w:val="002A12E0"/>
    <w:rsid w:val="002A721D"/>
    <w:rsid w:val="002C1D53"/>
    <w:rsid w:val="002E493E"/>
    <w:rsid w:val="002E4C68"/>
    <w:rsid w:val="002F25B6"/>
    <w:rsid w:val="002F43AD"/>
    <w:rsid w:val="00335C97"/>
    <w:rsid w:val="00336A39"/>
    <w:rsid w:val="00346048"/>
    <w:rsid w:val="0035569E"/>
    <w:rsid w:val="00363515"/>
    <w:rsid w:val="00380B96"/>
    <w:rsid w:val="00383449"/>
    <w:rsid w:val="00394F97"/>
    <w:rsid w:val="003A0036"/>
    <w:rsid w:val="003A36C2"/>
    <w:rsid w:val="003C79A9"/>
    <w:rsid w:val="003D07F6"/>
    <w:rsid w:val="003D36E3"/>
    <w:rsid w:val="00402E87"/>
    <w:rsid w:val="004072BA"/>
    <w:rsid w:val="00415E56"/>
    <w:rsid w:val="00422BD4"/>
    <w:rsid w:val="00423007"/>
    <w:rsid w:val="0043196C"/>
    <w:rsid w:val="00433540"/>
    <w:rsid w:val="00436509"/>
    <w:rsid w:val="00451A71"/>
    <w:rsid w:val="00462505"/>
    <w:rsid w:val="00467922"/>
    <w:rsid w:val="0047216D"/>
    <w:rsid w:val="0047641F"/>
    <w:rsid w:val="004779C6"/>
    <w:rsid w:val="00492E71"/>
    <w:rsid w:val="004A48C5"/>
    <w:rsid w:val="004A5882"/>
    <w:rsid w:val="004B327E"/>
    <w:rsid w:val="004B4713"/>
    <w:rsid w:val="004C1633"/>
    <w:rsid w:val="004C47EE"/>
    <w:rsid w:val="004C7138"/>
    <w:rsid w:val="004D0AA7"/>
    <w:rsid w:val="004D1557"/>
    <w:rsid w:val="004D4B8D"/>
    <w:rsid w:val="004D66F9"/>
    <w:rsid w:val="004E1527"/>
    <w:rsid w:val="004E227A"/>
    <w:rsid w:val="004E27EE"/>
    <w:rsid w:val="005038A3"/>
    <w:rsid w:val="0050783E"/>
    <w:rsid w:val="005163D4"/>
    <w:rsid w:val="00523D7E"/>
    <w:rsid w:val="005356E7"/>
    <w:rsid w:val="00550304"/>
    <w:rsid w:val="00550D09"/>
    <w:rsid w:val="00551628"/>
    <w:rsid w:val="0055699C"/>
    <w:rsid w:val="00557728"/>
    <w:rsid w:val="00565204"/>
    <w:rsid w:val="005666A9"/>
    <w:rsid w:val="00570D74"/>
    <w:rsid w:val="00571EDA"/>
    <w:rsid w:val="00572A9F"/>
    <w:rsid w:val="005848FF"/>
    <w:rsid w:val="00585FDF"/>
    <w:rsid w:val="00586114"/>
    <w:rsid w:val="00590A3A"/>
    <w:rsid w:val="005A0650"/>
    <w:rsid w:val="005A2A1F"/>
    <w:rsid w:val="005A636E"/>
    <w:rsid w:val="005C28A9"/>
    <w:rsid w:val="005E3541"/>
    <w:rsid w:val="005E778B"/>
    <w:rsid w:val="005F7DD0"/>
    <w:rsid w:val="006032E9"/>
    <w:rsid w:val="00603B4B"/>
    <w:rsid w:val="00606B1C"/>
    <w:rsid w:val="00613E8F"/>
    <w:rsid w:val="00620D16"/>
    <w:rsid w:val="006223FD"/>
    <w:rsid w:val="00623CE2"/>
    <w:rsid w:val="006320A2"/>
    <w:rsid w:val="00636FDE"/>
    <w:rsid w:val="00637D72"/>
    <w:rsid w:val="006474DC"/>
    <w:rsid w:val="00651A40"/>
    <w:rsid w:val="00653AA3"/>
    <w:rsid w:val="00654508"/>
    <w:rsid w:val="0066271C"/>
    <w:rsid w:val="00664C49"/>
    <w:rsid w:val="006728FB"/>
    <w:rsid w:val="0067324D"/>
    <w:rsid w:val="006732C1"/>
    <w:rsid w:val="00675E01"/>
    <w:rsid w:val="006769B1"/>
    <w:rsid w:val="00677EB9"/>
    <w:rsid w:val="00684520"/>
    <w:rsid w:val="00696CF1"/>
    <w:rsid w:val="006A08E5"/>
    <w:rsid w:val="006A4706"/>
    <w:rsid w:val="006B3E3C"/>
    <w:rsid w:val="006B7153"/>
    <w:rsid w:val="006B7ED5"/>
    <w:rsid w:val="006C2C49"/>
    <w:rsid w:val="006E3CFB"/>
    <w:rsid w:val="006E5426"/>
    <w:rsid w:val="006F6678"/>
    <w:rsid w:val="007103A9"/>
    <w:rsid w:val="00713954"/>
    <w:rsid w:val="0071774E"/>
    <w:rsid w:val="00721383"/>
    <w:rsid w:val="007232E2"/>
    <w:rsid w:val="00726FA8"/>
    <w:rsid w:val="0072799F"/>
    <w:rsid w:val="00756491"/>
    <w:rsid w:val="00763F53"/>
    <w:rsid w:val="00766375"/>
    <w:rsid w:val="00767A9B"/>
    <w:rsid w:val="0077498B"/>
    <w:rsid w:val="00783CF7"/>
    <w:rsid w:val="007843F8"/>
    <w:rsid w:val="007A4993"/>
    <w:rsid w:val="007A4F53"/>
    <w:rsid w:val="007B2E13"/>
    <w:rsid w:val="007D1B94"/>
    <w:rsid w:val="007D41A1"/>
    <w:rsid w:val="007D66C2"/>
    <w:rsid w:val="007D7F33"/>
    <w:rsid w:val="007E456B"/>
    <w:rsid w:val="007F6E6A"/>
    <w:rsid w:val="00810AD6"/>
    <w:rsid w:val="008165C0"/>
    <w:rsid w:val="00821F98"/>
    <w:rsid w:val="00823F3C"/>
    <w:rsid w:val="008267E8"/>
    <w:rsid w:val="00831E52"/>
    <w:rsid w:val="00832971"/>
    <w:rsid w:val="008464D7"/>
    <w:rsid w:val="00847A77"/>
    <w:rsid w:val="00860395"/>
    <w:rsid w:val="00862595"/>
    <w:rsid w:val="0088078B"/>
    <w:rsid w:val="00884CFC"/>
    <w:rsid w:val="00884E2C"/>
    <w:rsid w:val="008930BF"/>
    <w:rsid w:val="008932E5"/>
    <w:rsid w:val="008A05DC"/>
    <w:rsid w:val="008A0B47"/>
    <w:rsid w:val="008B5B9E"/>
    <w:rsid w:val="008C0260"/>
    <w:rsid w:val="008D37F5"/>
    <w:rsid w:val="008D52DF"/>
    <w:rsid w:val="008E217F"/>
    <w:rsid w:val="008E4F7C"/>
    <w:rsid w:val="008F6700"/>
    <w:rsid w:val="00904F41"/>
    <w:rsid w:val="00924F62"/>
    <w:rsid w:val="00926882"/>
    <w:rsid w:val="00927BFA"/>
    <w:rsid w:val="0093223B"/>
    <w:rsid w:val="009347A0"/>
    <w:rsid w:val="00934F90"/>
    <w:rsid w:val="00946F29"/>
    <w:rsid w:val="0095353E"/>
    <w:rsid w:val="009756EC"/>
    <w:rsid w:val="00980809"/>
    <w:rsid w:val="009819AE"/>
    <w:rsid w:val="009832A6"/>
    <w:rsid w:val="00996C29"/>
    <w:rsid w:val="009A1FB2"/>
    <w:rsid w:val="009B054A"/>
    <w:rsid w:val="009B111A"/>
    <w:rsid w:val="009B7004"/>
    <w:rsid w:val="009C0220"/>
    <w:rsid w:val="009C340B"/>
    <w:rsid w:val="009D4706"/>
    <w:rsid w:val="009D4AFC"/>
    <w:rsid w:val="009D73C8"/>
    <w:rsid w:val="009E5B5E"/>
    <w:rsid w:val="009E7CA0"/>
    <w:rsid w:val="009F08E2"/>
    <w:rsid w:val="00A06FDC"/>
    <w:rsid w:val="00A1639D"/>
    <w:rsid w:val="00A17666"/>
    <w:rsid w:val="00A201F2"/>
    <w:rsid w:val="00A37214"/>
    <w:rsid w:val="00A47E65"/>
    <w:rsid w:val="00A56907"/>
    <w:rsid w:val="00A62D94"/>
    <w:rsid w:val="00A62F9F"/>
    <w:rsid w:val="00A66870"/>
    <w:rsid w:val="00A75206"/>
    <w:rsid w:val="00A82930"/>
    <w:rsid w:val="00A844A0"/>
    <w:rsid w:val="00A93C6A"/>
    <w:rsid w:val="00A9787D"/>
    <w:rsid w:val="00A97B35"/>
    <w:rsid w:val="00AB5632"/>
    <w:rsid w:val="00AC1AC1"/>
    <w:rsid w:val="00AC3EBB"/>
    <w:rsid w:val="00AC7161"/>
    <w:rsid w:val="00AD1608"/>
    <w:rsid w:val="00AD199D"/>
    <w:rsid w:val="00AF1773"/>
    <w:rsid w:val="00AF19FD"/>
    <w:rsid w:val="00AF555B"/>
    <w:rsid w:val="00B03AB6"/>
    <w:rsid w:val="00B055E4"/>
    <w:rsid w:val="00B14DBB"/>
    <w:rsid w:val="00B17598"/>
    <w:rsid w:val="00B17913"/>
    <w:rsid w:val="00B32A88"/>
    <w:rsid w:val="00B345C6"/>
    <w:rsid w:val="00B552FE"/>
    <w:rsid w:val="00B55B7E"/>
    <w:rsid w:val="00B60736"/>
    <w:rsid w:val="00B609FA"/>
    <w:rsid w:val="00B800C1"/>
    <w:rsid w:val="00B9301A"/>
    <w:rsid w:val="00BA4BA3"/>
    <w:rsid w:val="00BA65BD"/>
    <w:rsid w:val="00BA67E7"/>
    <w:rsid w:val="00BA7044"/>
    <w:rsid w:val="00BA77B4"/>
    <w:rsid w:val="00BC0659"/>
    <w:rsid w:val="00BC1E66"/>
    <w:rsid w:val="00BC1F82"/>
    <w:rsid w:val="00BC286D"/>
    <w:rsid w:val="00BD05D4"/>
    <w:rsid w:val="00BD1C57"/>
    <w:rsid w:val="00BD1CBC"/>
    <w:rsid w:val="00BD4936"/>
    <w:rsid w:val="00BE06AF"/>
    <w:rsid w:val="00BE4360"/>
    <w:rsid w:val="00BE75C3"/>
    <w:rsid w:val="00BF09CE"/>
    <w:rsid w:val="00BF4883"/>
    <w:rsid w:val="00C05427"/>
    <w:rsid w:val="00C26F1B"/>
    <w:rsid w:val="00C541CB"/>
    <w:rsid w:val="00C575F2"/>
    <w:rsid w:val="00C66B58"/>
    <w:rsid w:val="00C75AF1"/>
    <w:rsid w:val="00C777FB"/>
    <w:rsid w:val="00C81B19"/>
    <w:rsid w:val="00CA7CA7"/>
    <w:rsid w:val="00CB2BA4"/>
    <w:rsid w:val="00CC0715"/>
    <w:rsid w:val="00CD3488"/>
    <w:rsid w:val="00CE4970"/>
    <w:rsid w:val="00CE6952"/>
    <w:rsid w:val="00CF7038"/>
    <w:rsid w:val="00D03532"/>
    <w:rsid w:val="00D07C3F"/>
    <w:rsid w:val="00D108B3"/>
    <w:rsid w:val="00D14C28"/>
    <w:rsid w:val="00D175F1"/>
    <w:rsid w:val="00D26535"/>
    <w:rsid w:val="00D457B1"/>
    <w:rsid w:val="00D51536"/>
    <w:rsid w:val="00D5176E"/>
    <w:rsid w:val="00D57AB7"/>
    <w:rsid w:val="00D65152"/>
    <w:rsid w:val="00D714AB"/>
    <w:rsid w:val="00D7206B"/>
    <w:rsid w:val="00D86119"/>
    <w:rsid w:val="00D97A3F"/>
    <w:rsid w:val="00DB2CDC"/>
    <w:rsid w:val="00DD0496"/>
    <w:rsid w:val="00DE4A34"/>
    <w:rsid w:val="00DE60E2"/>
    <w:rsid w:val="00DF25F3"/>
    <w:rsid w:val="00DF58FA"/>
    <w:rsid w:val="00DF7CDE"/>
    <w:rsid w:val="00E017D2"/>
    <w:rsid w:val="00E04DAC"/>
    <w:rsid w:val="00E12D77"/>
    <w:rsid w:val="00E134CA"/>
    <w:rsid w:val="00E1556B"/>
    <w:rsid w:val="00E26544"/>
    <w:rsid w:val="00E3595D"/>
    <w:rsid w:val="00E462C0"/>
    <w:rsid w:val="00E60370"/>
    <w:rsid w:val="00E66D81"/>
    <w:rsid w:val="00E727A1"/>
    <w:rsid w:val="00E737EE"/>
    <w:rsid w:val="00EA6448"/>
    <w:rsid w:val="00EB25D7"/>
    <w:rsid w:val="00EE09C1"/>
    <w:rsid w:val="00EE1846"/>
    <w:rsid w:val="00EE31D7"/>
    <w:rsid w:val="00EE5C32"/>
    <w:rsid w:val="00EF121B"/>
    <w:rsid w:val="00F004F5"/>
    <w:rsid w:val="00F03527"/>
    <w:rsid w:val="00F06861"/>
    <w:rsid w:val="00F10C4C"/>
    <w:rsid w:val="00F116E2"/>
    <w:rsid w:val="00F12A9F"/>
    <w:rsid w:val="00F158DD"/>
    <w:rsid w:val="00F17E63"/>
    <w:rsid w:val="00F17F23"/>
    <w:rsid w:val="00F30F65"/>
    <w:rsid w:val="00F32163"/>
    <w:rsid w:val="00F33664"/>
    <w:rsid w:val="00F35303"/>
    <w:rsid w:val="00F354FB"/>
    <w:rsid w:val="00F40E50"/>
    <w:rsid w:val="00F44ED7"/>
    <w:rsid w:val="00F4641A"/>
    <w:rsid w:val="00F467AD"/>
    <w:rsid w:val="00F67C6C"/>
    <w:rsid w:val="00F77338"/>
    <w:rsid w:val="00F85C21"/>
    <w:rsid w:val="00F930D0"/>
    <w:rsid w:val="00F93FFD"/>
    <w:rsid w:val="00FA6883"/>
    <w:rsid w:val="00FB1AD7"/>
    <w:rsid w:val="00FC11F4"/>
    <w:rsid w:val="00FC202E"/>
    <w:rsid w:val="00FC5222"/>
    <w:rsid w:val="00FF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D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464D7"/>
  </w:style>
  <w:style w:type="paragraph" w:customStyle="1" w:styleId="Level1">
    <w:name w:val="Level 1"/>
    <w:basedOn w:val="Normal"/>
    <w:uiPriority w:val="99"/>
    <w:rsid w:val="008464D7"/>
    <w:pPr>
      <w:ind w:left="720" w:hanging="720"/>
      <w:outlineLvl w:val="0"/>
    </w:pPr>
  </w:style>
  <w:style w:type="paragraph" w:customStyle="1" w:styleId="Level3">
    <w:name w:val="Level 3"/>
    <w:basedOn w:val="Normal"/>
    <w:uiPriority w:val="99"/>
    <w:rsid w:val="008464D7"/>
    <w:pPr>
      <w:ind w:left="2160" w:hanging="720"/>
      <w:outlineLvl w:val="2"/>
    </w:pPr>
  </w:style>
  <w:style w:type="paragraph" w:customStyle="1" w:styleId="Level2">
    <w:name w:val="Level 2"/>
    <w:basedOn w:val="Normal"/>
    <w:uiPriority w:val="99"/>
    <w:rsid w:val="008464D7"/>
    <w:pPr>
      <w:ind w:left="1440" w:hanging="720"/>
      <w:outlineLvl w:val="1"/>
    </w:pPr>
  </w:style>
  <w:style w:type="character" w:styleId="Hyperlink">
    <w:name w:val="Hyperlink"/>
    <w:uiPriority w:val="99"/>
    <w:rsid w:val="008464D7"/>
  </w:style>
  <w:style w:type="paragraph" w:styleId="FootnoteText">
    <w:name w:val="footnote text"/>
    <w:basedOn w:val="Normal"/>
    <w:link w:val="FootnoteTextChar"/>
    <w:uiPriority w:val="99"/>
    <w:semiHidden/>
    <w:unhideWhenUsed/>
    <w:rsid w:val="006320A2"/>
    <w:rPr>
      <w:sz w:val="20"/>
      <w:szCs w:val="20"/>
    </w:rPr>
  </w:style>
  <w:style w:type="character" w:customStyle="1" w:styleId="FootnoteTextChar">
    <w:name w:val="Footnote Text Char"/>
    <w:basedOn w:val="DefaultParagraphFont"/>
    <w:link w:val="FootnoteText"/>
    <w:uiPriority w:val="99"/>
    <w:semiHidden/>
    <w:rsid w:val="006320A2"/>
    <w:rPr>
      <w:rFonts w:ascii="Times New Roman" w:hAnsi="Times New Roman" w:cs="Times New Roman"/>
      <w:sz w:val="20"/>
      <w:szCs w:val="20"/>
    </w:rPr>
  </w:style>
  <w:style w:type="paragraph" w:styleId="Header">
    <w:name w:val="header"/>
    <w:basedOn w:val="Normal"/>
    <w:link w:val="HeaderChar"/>
    <w:uiPriority w:val="99"/>
    <w:semiHidden/>
    <w:unhideWhenUsed/>
    <w:rsid w:val="007D1B94"/>
    <w:pPr>
      <w:tabs>
        <w:tab w:val="center" w:pos="4680"/>
        <w:tab w:val="right" w:pos="9360"/>
      </w:tabs>
    </w:pPr>
  </w:style>
  <w:style w:type="character" w:customStyle="1" w:styleId="HeaderChar">
    <w:name w:val="Header Char"/>
    <w:basedOn w:val="DefaultParagraphFont"/>
    <w:link w:val="Header"/>
    <w:uiPriority w:val="99"/>
    <w:semiHidden/>
    <w:rsid w:val="007D1B94"/>
    <w:rPr>
      <w:rFonts w:ascii="Times New Roman" w:hAnsi="Times New Roman" w:cs="Times New Roman"/>
      <w:sz w:val="24"/>
      <w:szCs w:val="24"/>
    </w:rPr>
  </w:style>
  <w:style w:type="paragraph" w:styleId="Footer">
    <w:name w:val="footer"/>
    <w:basedOn w:val="Normal"/>
    <w:link w:val="FooterChar"/>
    <w:uiPriority w:val="99"/>
    <w:semiHidden/>
    <w:unhideWhenUsed/>
    <w:rsid w:val="007D1B94"/>
    <w:pPr>
      <w:tabs>
        <w:tab w:val="center" w:pos="4680"/>
        <w:tab w:val="right" w:pos="9360"/>
      </w:tabs>
    </w:pPr>
  </w:style>
  <w:style w:type="character" w:customStyle="1" w:styleId="FooterChar">
    <w:name w:val="Footer Char"/>
    <w:basedOn w:val="DefaultParagraphFont"/>
    <w:link w:val="Footer"/>
    <w:uiPriority w:val="99"/>
    <w:semiHidden/>
    <w:rsid w:val="007D1B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A4706"/>
    <w:rPr>
      <w:rFonts w:ascii="Tahoma" w:hAnsi="Tahoma" w:cs="Tahoma"/>
      <w:sz w:val="16"/>
      <w:szCs w:val="16"/>
    </w:rPr>
  </w:style>
  <w:style w:type="character" w:customStyle="1" w:styleId="BalloonTextChar">
    <w:name w:val="Balloon Text Char"/>
    <w:basedOn w:val="DefaultParagraphFont"/>
    <w:link w:val="BalloonText"/>
    <w:uiPriority w:val="99"/>
    <w:semiHidden/>
    <w:rsid w:val="006A4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060566">
      <w:bodyDiv w:val="1"/>
      <w:marLeft w:val="0"/>
      <w:marRight w:val="0"/>
      <w:marTop w:val="0"/>
      <w:marBottom w:val="0"/>
      <w:divBdr>
        <w:top w:val="none" w:sz="0" w:space="0" w:color="auto"/>
        <w:left w:val="none" w:sz="0" w:space="0" w:color="auto"/>
        <w:bottom w:val="none" w:sz="0" w:space="0" w:color="auto"/>
        <w:right w:val="none" w:sz="0" w:space="0" w:color="auto"/>
      </w:divBdr>
    </w:div>
    <w:div w:id="10250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C2AC-B198-460B-87B9-4C6D5964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George Hue</cp:lastModifiedBy>
  <cp:revision>2</cp:revision>
  <cp:lastPrinted>2011-01-11T17:58:00Z</cp:lastPrinted>
  <dcterms:created xsi:type="dcterms:W3CDTF">2011-01-12T00:50:00Z</dcterms:created>
  <dcterms:modified xsi:type="dcterms:W3CDTF">2011-01-12T00:50:00Z</dcterms:modified>
</cp:coreProperties>
</file>