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OCTOBER 2, 2012</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 xml:space="preserve">RIC A. MILITELLO, </w:t>
            </w:r>
          </w:p>
          <w:p>
            <w:pPr>
              <w:rPr>
                <w:b/>
                <w:bCs/>
              </w:rPr>
            </w:pPr>
          </w:p>
          <w:p>
            <w:pPr>
              <w:rPr>
                <w:b/>
                <w:bCs/>
              </w:rPr>
            </w:pPr>
            <w:r>
              <w:rPr>
                <w:b/>
                <w:bCs/>
              </w:rPr>
              <w:t>Member No.  193675,</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11-N-16553-RAP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Ric A. Militello (respondent) was charged with willfully violating California Rules of Court, rule 9.20, by willfully disobeying or violating a court order requiring compliance with rule 9.20.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rPr>
          <w:b/>
        </w:rPr>
        <w:tab/>
      </w:r>
      <w:r>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p>
    <w:p>
      <w:pPr>
        <w:spacing w:line="480" w:lineRule="auto"/>
      </w:pPr>
      <w:r>
        <w:t>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19, 1997, and has been a member since then.</w:t>
      </w:r>
    </w:p>
    <w:p>
      <w:pPr>
        <w:spacing w:line="480" w:lineRule="auto"/>
        <w:rPr>
          <w:b/>
        </w:rPr>
      </w:pPr>
      <w:r>
        <w:rPr>
          <w:b/>
        </w:rPr>
        <w:t>Procedural Requirements Have Been Satisfied</w:t>
      </w:r>
    </w:p>
    <w:p>
      <w:pPr>
        <w:spacing w:line="480" w:lineRule="auto"/>
      </w:pPr>
      <w:r>
        <w:rPr>
          <w:b/>
        </w:rPr>
        <w:tab/>
      </w:r>
      <w:r>
        <w:t>On October 11, 2011, the State Bar filed and properly served the NDC on respondent by certified mail, return receipt requested, at his membership records address.  The NDC notified respondent that his failure to participate in the proceeding would result in a disbarment recommendation.  (Rule 5.41.)  The NDC was returned by the U.S. Postal Service (USPS) stamped “‘Undeliverable As Addressed.’”</w:t>
      </w:r>
      <w:r>
        <w:rPr>
          <w:rStyle w:val="FootnoteReference"/>
        </w:rPr>
        <w:footnoteReference w:id="3"/>
      </w:r>
      <w:r>
        <w:t xml:space="preserve">  </w:t>
      </w:r>
    </w:p>
    <w:p>
      <w:pPr>
        <w:spacing w:line="480" w:lineRule="auto"/>
        <w:ind w:firstLine="720"/>
      </w:pPr>
      <w:r>
        <w:t>Thereafter, the State Bar attempted to reach respondent by telephone at his official membership records telephone number and by sending an email to respondent at the email address listed on his membership records.</w:t>
      </w:r>
      <w:r>
        <w:rPr>
          <w:rStyle w:val="FootnoteReference"/>
        </w:rPr>
        <w:footnoteReference w:id="4"/>
      </w:r>
      <w:r>
        <w:t xml:space="preserve">  The State Bar also sent the NDC to respondent by first-class mail to his membership records address and to two additional addresses found via an internet search.  DTC Ellis also called directory assistance for the area which includes respondent’s membership records address and asked for all telephone listings for respondent; however, there was no such listing.</w:t>
      </w:r>
    </w:p>
    <w:p>
      <w:pPr>
        <w:spacing w:line="480" w:lineRule="auto"/>
        <w:ind w:firstLine="720"/>
      </w:pPr>
    </w:p>
    <w:p>
      <w:pPr>
        <w:spacing w:line="480" w:lineRule="auto"/>
        <w:ind w:firstLine="720"/>
      </w:pPr>
      <w:r>
        <w:t>Respondent failed to file a response to the NDC.  On November 21 and 22, 2011, the State Bar properly served and filed, respectively, a motion for entry of respondent’s default.</w:t>
      </w:r>
      <w:r>
        <w:rPr>
          <w:rStyle w:val="FootnoteReference"/>
        </w:rPr>
        <w:footnoteReference w:id="5"/>
      </w:r>
      <w:r>
        <w:t xml:space="preserve">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December 8, 2011.  The order entering the default was properly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rPr>
          <w:b/>
        </w:rPr>
        <w:tab/>
      </w:r>
      <w:r>
        <w:t>Respondent also did not seek to have his default set aside or vacated.  (Rule 5.83(C)(1) [attorney has 180 days to file motion to set aside default].)  On July 16, 2012, the State Bar filed and properly served the petition for disbarment.  As required by rule 5.85(A), the State Bar reported in the petition that:  (1) it has had no contact with respondent since the default was entered; (2) there is one disciplinary investigation which is currently abated; (3) respondent has a record of prior discipline; and (4) the Client Security Fund has not made payments resulting from respondent’s conduct.  Respondent did not respond to the petition for disbarment or move to set aside or vacate the default.  The case was submitted for decision on August 13, 2012.</w:t>
      </w:r>
    </w:p>
    <w:p>
      <w:pPr>
        <w:spacing w:line="480" w:lineRule="auto"/>
      </w:pPr>
      <w:r>
        <w:t>/ / /</w:t>
      </w:r>
    </w:p>
    <w:p>
      <w:pPr>
        <w:spacing w:line="480" w:lineRule="auto"/>
      </w:pPr>
      <w:r>
        <w:t>/ / /</w:t>
      </w:r>
    </w:p>
    <w:p>
      <w:pPr>
        <w:spacing w:line="480" w:lineRule="auto"/>
      </w:pPr>
      <w:r>
        <w:t xml:space="preserve">/ / / </w:t>
      </w:r>
    </w:p>
    <w:p>
      <w:pPr>
        <w:spacing w:line="480" w:lineRule="auto"/>
      </w:pPr>
      <w:r>
        <w:tab/>
        <w:t>Respondent has been disciplined on one prior occasion.</w:t>
      </w:r>
      <w:r>
        <w:rPr>
          <w:rStyle w:val="FootnoteReference"/>
        </w:rPr>
        <w:footnoteReference w:id="6"/>
      </w:r>
      <w:r>
        <w:t xml:space="preserve">  Pursuant to a Supreme Court order filed on February 18, 2011, respondent was suspended for one year, but the execution of the suspension was stayed subject to certain conditions, including that respondent be suspended for a minimum of six months and that he remain suspended until the court grants a motion to terminate his suspension.</w:t>
      </w:r>
      <w:r>
        <w:rPr>
          <w:b/>
        </w:rPr>
        <w:t xml:space="preserve">  </w:t>
      </w:r>
      <w:r>
        <w:t xml:space="preserve">Respondent was found culpable in this matter of commingling, committing acts of moral turpitude, dishonesty, or corruption by making electronic payments from his client trust account with insufficient funds on deposit, and failing to update his official address.  Respondent failed to participate in this matter, and his default was entered.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Case Number 11-N-16553 (Rule 9.20 Matter)</w:t>
      </w:r>
    </w:p>
    <w:p>
      <w:pPr>
        <w:spacing w:line="480" w:lineRule="auto"/>
      </w:pPr>
      <w:r>
        <w:rPr>
          <w:b/>
        </w:rPr>
        <w:tab/>
      </w:r>
      <w:r>
        <w:t xml:space="preserve">Respondent willfully violated California Rules of Court, rule 9.20 (duties of disbarred, resigned or suspended attorneys), by not filing a declaration of compliance with rule 9.20 in conformity with the requirements of rule 9.20(c), and thereby failing to timely comply with the provisions of a Supreme Court order requiring compliance with California Rules of Court, rule 9.20.  </w:t>
      </w:r>
    </w:p>
    <w:p>
      <w:pPr>
        <w:rPr>
          <w:b/>
        </w:rPr>
      </w:pPr>
      <w:r>
        <w:rPr>
          <w:b/>
        </w:rPr>
        <w:t>/ / /</w:t>
      </w:r>
      <w:r>
        <w:rPr>
          <w:b/>
        </w:rPr>
        <w:br w:type="page"/>
      </w:r>
    </w:p>
    <w:p>
      <w:pPr>
        <w:spacing w:line="480" w:lineRule="auto"/>
        <w:rPr>
          <w:b/>
        </w:rPr>
      </w:pPr>
      <w:r>
        <w:rPr>
          <w:b/>
        </w:rPr>
        <w:t>Disbarment is Mandated under the Rules of Procedure</w:t>
      </w:r>
    </w:p>
    <w:p>
      <w:pPr>
        <w:spacing w:line="480" w:lineRule="auto"/>
      </w:pPr>
      <w:r>
        <w:tab/>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pPr>
      <w:r>
        <w:rPr>
          <w:b/>
        </w:rPr>
        <w:tab/>
      </w:r>
      <w:r>
        <w:t>(2) reasonable diligence was used to notify respondent of the proceedings prior to the entry of his default, as the NDC was served on respondent at his membership records address; the NDC was also sent by first-class mail to respondent’s membership address and to two additional addresses;</w:t>
      </w:r>
      <w:r>
        <w:rPr>
          <w:b/>
        </w:rPr>
        <w:t xml:space="preserve"> </w:t>
      </w:r>
      <w:r>
        <w:t xml:space="preserve">there were attempts to reach respondent by telephone and email; and directory assistance was contacted; </w:t>
      </w:r>
    </w:p>
    <w:p>
      <w:pPr>
        <w:spacing w:line="480" w:lineRule="auto"/>
      </w:pPr>
      <w:r>
        <w:tab/>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 xml:space="preserve">Despite adequate notice and opportunity, respondent failed to participate in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Ric A. Militello be disbarred from the practice of law in the State of California and that his name be stricken from the roll of attorneys.</w:t>
      </w:r>
    </w:p>
    <w:p>
      <w:pPr>
        <w:spacing w:line="480" w:lineRule="auto"/>
        <w:rPr>
          <w:b/>
        </w:rPr>
      </w:pPr>
      <w:r>
        <w:rPr>
          <w:b/>
        </w:rPr>
        <w:t>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Ric A. Militello, State Bar number 193675,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Dated: October 1, 2012</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See declaration of Deputy Trial Counsel Mia Ellis (DTC Ellis) attached to the motion for entry of respondent’s default, page 5, lines 16-17. </w:t>
      </w:r>
    </w:p>
  </w:footnote>
  <w:footnote w:id="4">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      </w:t>
      </w:r>
    </w:p>
  </w:footnote>
  <w:footnote w:id="5">
    <w:p>
      <w:pPr>
        <w:pStyle w:val="FootnoteText"/>
      </w:pPr>
      <w:r>
        <w:rPr>
          <w:rStyle w:val="FootnoteReference"/>
        </w:rPr>
        <w:footnoteRef/>
      </w:r>
      <w:r>
        <w:t xml:space="preserve"> The motion’s certified mail return receipt was returned to the State Bar bearing a signature of someone other than respondent.  </w:t>
      </w:r>
    </w:p>
  </w:footnote>
  <w:footnote w:id="6">
    <w:p>
      <w:pPr>
        <w:pStyle w:val="FootnoteText"/>
      </w:pPr>
      <w:r>
        <w:rPr>
          <w:rStyle w:val="FootnoteReference"/>
        </w:rPr>
        <w:footnoteRef/>
      </w:r>
      <w:r>
        <w:t xml:space="preserve"> The Supreme Court order in this prior matter is attached as Exhibit 1 to the NDC.  A certified copy of the State Bar Court’s October 4, 2010 Amended Decision is attached to the petition for disbarment.  However, also attached to the petition for disbarment is the State Bar Court’s August 25, 2010 Decision.  The August 25, 2010 Decision, however, was vacated and was superseded by the October 4, 2010 Amended Decision.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UN+pI2KApnHtomdHAupmNqmTe2s=" w:salt="XU1XQoorBal92INjruLzMQ=="/>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1354</Words>
  <Characters>7127</Characters>
  <Application>Microsoft Office Word</Application>
  <DocSecurity>0</DocSecurity>
  <Lines>151</Lines>
  <Paragraphs>67</Paragraphs>
  <ScaleCrop>false</ScaleCrop>
  <Manager/>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2012-10-10T19:11:00Z</dcterms:created>
  <dcterms:modified xsi:type="dcterms:W3CDTF">2012-10-10T19:11:00Z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