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21, 2013</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RONALD DENNIS JAMAN,</w:t>
            </w:r>
          </w:p>
          <w:p>
            <w:pPr>
              <w:rPr>
                <w:b/>
                <w:bCs/>
              </w:rPr>
            </w:pPr>
          </w:p>
          <w:p>
            <w:pPr>
              <w:rPr>
                <w:b/>
                <w:bCs/>
              </w:rPr>
            </w:pPr>
            <w:r>
              <w:rPr>
                <w:b/>
                <w:bCs/>
              </w:rPr>
              <w:t>Member No.  48057,</w:t>
            </w:r>
          </w:p>
          <w:p>
            <w:pPr>
              <w:rPr>
                <w:b/>
                <w:bCs/>
              </w:rPr>
            </w:pPr>
          </w:p>
          <w:p>
            <w:r>
              <w:t>A Member of the State Bar.</w:t>
            </w:r>
          </w:p>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11-O-10727-RAH</w:t>
            </w:r>
          </w:p>
          <w:p>
            <w:pPr>
              <w:rPr>
                <w:b/>
                <w:bCs/>
              </w:rPr>
            </w:pPr>
            <w:r>
              <w:rPr>
                <w:b/>
                <w:bCs/>
              </w:rPr>
              <w:t xml:space="preserve">(11-O-16741; 12-O-10763) </w:t>
            </w:r>
          </w:p>
        </w:tc>
      </w:tr>
      <w:tr>
        <w:trPr>
          <w:cantSplit/>
          <w:trHeight w:val="153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Ronald Dennis Jaman was charged with seven counts of violations of the Rules of Professional Conduct and the Business and Professions Code.</w:t>
      </w:r>
      <w:r>
        <w:rPr>
          <w:rStyle w:val="FootnoteReference"/>
        </w:rPr>
        <w:footnoteReference w:id="1"/>
      </w:r>
      <w:r>
        <w:t xml:space="preserve">  He did not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not responding to the notice of disciplinary charges (NDC), </w:t>
      </w:r>
      <w:r>
        <w:lastRenderedPageBreak/>
        <w:t>and the attorney does not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January 7, 1971, and has been a member since then.</w:t>
      </w:r>
    </w:p>
    <w:p>
      <w:pPr>
        <w:spacing w:line="480" w:lineRule="auto"/>
        <w:rPr>
          <w:b/>
        </w:rPr>
      </w:pPr>
      <w:r>
        <w:rPr>
          <w:b/>
        </w:rPr>
        <w:t>Procedural Requirements Have Been Satisfied</w:t>
      </w:r>
    </w:p>
    <w:p>
      <w:pPr>
        <w:spacing w:line="480" w:lineRule="auto"/>
      </w:pPr>
      <w:r>
        <w:tab/>
        <w:t xml:space="preserve">On July 13, 2012, the State Bar filed and properly served the NDC on respondent by certified mail, return receipt requested, at his membership records address.  The NDC notified respondent that his failure to participate in the proceeding would result in a disbarment recommendation.  (Rule 5.41.)  The NDC was returned unclaimed.  A copy of the NDC was also served later at respondent’s membership records address by first-class mail.  This copy was not returned.  </w:t>
      </w:r>
    </w:p>
    <w:p>
      <w:pPr>
        <w:spacing w:line="480" w:lineRule="auto"/>
      </w:pPr>
      <w:r>
        <w:tab/>
        <w:t xml:space="preserve">In addition, reasonable diligence was also used to notify respondent of this proceeding.  </w:t>
      </w:r>
    </w:p>
    <w:p>
      <w:pPr>
        <w:spacing w:line="480" w:lineRule="auto"/>
      </w:pPr>
      <w:r>
        <w:t>The State Bar called respondent at his membership records telephone number and at possible alternate telephone numbers obtained from those who answered the membership records telephone as well as from an internet search.  A telephone message was left at one such number with respondent’s son.  Correspondence was also sent to respondent’s home address and to his membership records email address.  The State Bar also contacted the Office of Probation to ascertain whether it had additional contact information for respondent.</w:t>
      </w:r>
    </w:p>
    <w:p>
      <w:pPr>
        <w:spacing w:line="480" w:lineRule="auto"/>
        <w:ind w:firstLine="720"/>
      </w:pPr>
      <w:r>
        <w:lastRenderedPageBreak/>
        <w:t xml:space="preserve">Respondent did not file a response to the NDC.  On August 31, 2012,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p>
    <w:p>
      <w:pPr>
        <w:spacing w:line="480" w:lineRule="auto"/>
        <w:ind w:firstLine="720"/>
      </w:pPr>
      <w:r>
        <w:t>Respondent did not file a response to the motion, and his default was entered on September 20,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May 1, 2013, the State Bar filed the petition for disbarment.  As required by rule 5.85(A), the State Bar reported in the petition that:  (1) respondent has had no contact with the State Bar since the entry of default; </w:t>
      </w:r>
    </w:p>
    <w:p>
      <w:pPr>
        <w:spacing w:line="480" w:lineRule="auto"/>
      </w:pPr>
      <w:r>
        <w:t xml:space="preserve">(2) respondent has no disciplinary matters pending; (3) respondent has two prior records of discipline; and (4) the Client Security Fund (CSF) has not made payments resulting from respondent’s conduct.  </w:t>
      </w:r>
    </w:p>
    <w:p>
      <w:pPr>
        <w:spacing w:line="480" w:lineRule="auto"/>
        <w:rPr>
          <w:b/>
        </w:rPr>
      </w:pPr>
      <w:r>
        <w:tab/>
        <w:t>Respondent did not respond to the petition for disbarment or move to set aside or vacate the default.  The case was submitted for decision on May 9, 2012.</w:t>
      </w:r>
      <w:r>
        <w:rPr>
          <w:b/>
        </w:rPr>
        <w:t xml:space="preserve">  </w:t>
      </w:r>
    </w:p>
    <w:p>
      <w:pPr>
        <w:spacing w:line="480" w:lineRule="auto"/>
      </w:pPr>
      <w:r>
        <w:rPr>
          <w:b/>
        </w:rPr>
        <w:lastRenderedPageBreak/>
        <w:tab/>
      </w:r>
      <w:r>
        <w:t>Respondent has been disciplined on two prior occasions.</w:t>
      </w:r>
      <w:r>
        <w:rPr>
          <w:rStyle w:val="FootnoteReference"/>
        </w:rPr>
        <w:footnoteReference w:id="4"/>
      </w:r>
      <w:r>
        <w:rPr>
          <w:b/>
        </w:rPr>
        <w:t xml:space="preserve">  </w:t>
      </w:r>
      <w:r>
        <w:t>Pursuant to a Supreme Court order filed on January 14, 2010, respondent was suspended for 60 days, the execution of which was stayed, and he was placed on probation for two years after successfully completing the State Bar Court’s Alternative Discipline Program.  In one client matter and a trust account matter, respondent did not perform competently or promptly inform his client about the receipt of client funds.  He also commingled personal funds in a client trust account and did not cooperate in a disciplinary investigation.</w:t>
      </w:r>
    </w:p>
    <w:p>
      <w:pPr>
        <w:spacing w:line="480" w:lineRule="auto"/>
      </w:pPr>
      <w:r>
        <w:tab/>
        <w:t>Pursuant to a Supreme Court order filed on September 13, 2011, respondent’s probation was revoked and he was placed on probation for two years on conditions including 60 days’ actual suspension.  Discipline was imposed because respondent did not comply with probation conditions imposed in the prior disciplinary matter.  Respondent and the State Bar entered into a stipulation as to facts, conclusions of law and the disposition in this matter.</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pPr>
      <w:r>
        <w:rPr>
          <w:b/>
        </w:rPr>
        <w:lastRenderedPageBreak/>
        <w:t>Case Number 11-O-10727 (Liu Matter)</w:t>
      </w:r>
    </w:p>
    <w:p>
      <w:pPr>
        <w:spacing w:line="480" w:lineRule="auto"/>
      </w:pPr>
      <w:r>
        <w:tab/>
        <w:t>Count One – respondent willfully violated rule 4-100(A) of the Rules of Professional Conduct</w:t>
      </w:r>
      <w:r>
        <w:rPr>
          <w:rStyle w:val="FootnoteReference"/>
        </w:rPr>
        <w:footnoteReference w:id="5"/>
      </w:r>
      <w:r>
        <w:t xml:space="preserve"> (not maintaining client funds in trust account) by not maintaining $732.66 of Liu’s settlement funds in his client trust account.</w:t>
      </w:r>
    </w:p>
    <w:p>
      <w:pPr>
        <w:spacing w:line="480" w:lineRule="auto"/>
        <w:ind w:firstLine="720"/>
      </w:pPr>
      <w:r>
        <w:t xml:space="preserve">Counts Two and Three – respondent violated section 6106 (moral turpitude) by dishonestly or negligently misappropriating $694.08 of Liu’s settlement funds and by knowingly or being grossly negligent in not knowing that he issued a client trust account check against insufficient funds. </w:t>
      </w:r>
    </w:p>
    <w:p>
      <w:pPr>
        <w:spacing w:line="480" w:lineRule="auto"/>
      </w:pPr>
      <w:r>
        <w:rPr>
          <w:b/>
        </w:rPr>
        <w:t>Case Number 11-O-16741 (Kirby Matter)</w:t>
      </w:r>
    </w:p>
    <w:p>
      <w:pPr>
        <w:spacing w:line="480" w:lineRule="auto"/>
      </w:pPr>
      <w:r>
        <w:tab/>
        <w:t>Count Four–respondent violated sections 6068, subdivision (a) and 6125 and 6126 (unauthorized practice of law) by preparing and sending a settlement demand letter on behalf of clients to an insurance carrier while he was suspended from the practice of law for nonpayment of his State Bar membership fees.</w:t>
      </w:r>
    </w:p>
    <w:p>
      <w:pPr>
        <w:spacing w:line="480" w:lineRule="auto"/>
      </w:pPr>
      <w:r>
        <w:tab/>
        <w:t>Counts Five and Six– respondent violated section 6106 (moral turpitude) by knowingly or with gross negligence practicing law while suspended and misrepresenting his State Bar status to the insurance carrier.</w:t>
      </w:r>
    </w:p>
    <w:p>
      <w:pPr>
        <w:spacing w:line="480" w:lineRule="auto"/>
      </w:pPr>
      <w:r>
        <w:rPr>
          <w:b/>
        </w:rPr>
        <w:t>Case Number 12-O-10763 (Probation Matter)</w:t>
      </w:r>
    </w:p>
    <w:p>
      <w:pPr>
        <w:spacing w:line="480" w:lineRule="auto"/>
      </w:pPr>
      <w:r>
        <w:tab/>
        <w:t>Count Seven– respondent violated sections 6068, subdivision (k) by violating probation conditions ordered by the Supreme Court in a disciplinary matter, including not timely filing the quarterly reports due on the 10</w:t>
      </w:r>
      <w:r>
        <w:rPr>
          <w:vertAlign w:val="superscript"/>
        </w:rPr>
        <w:t>th</w:t>
      </w:r>
      <w:r>
        <w:t xml:space="preserve"> of January, April and July 2012; not contacting or conducting a meeting with the Office of Probation to discuss the terms and conditions of probation; not making restitution payments; and not providing proof that respondent had started his participation in the Lawyers Assistance Program again.</w:t>
      </w:r>
    </w:p>
    <w:p>
      <w:pPr>
        <w:spacing w:line="480" w:lineRule="auto"/>
        <w:rPr>
          <w:b/>
        </w:rPr>
      </w:pPr>
      <w:r>
        <w:rPr>
          <w:b/>
        </w:rPr>
        <w:lastRenderedPageBreak/>
        <w:t>Disbarment is Recommended under the Rules of Procedure</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rPr>
          <w:b/>
        </w:rPr>
      </w:pPr>
      <w:r>
        <w:tab/>
        <w:t>(1) the NDC was properly served on respondent under rule 5.25;</w:t>
      </w:r>
      <w:r>
        <w:rPr>
          <w:b/>
        </w:rPr>
        <w:t xml:space="preserve"> </w:t>
      </w:r>
    </w:p>
    <w:p>
      <w:pPr>
        <w:spacing w:line="480" w:lineRule="auto"/>
      </w:pPr>
      <w:r>
        <w:rPr>
          <w:b/>
        </w:rPr>
        <w:tab/>
      </w:r>
      <w:r>
        <w:t xml:space="preserve">(2) reasonable diligence was used to notify respondent of the proceedings prior to the entry of his default, as the State Bar served the NDC on respondent at his membership records address by certified mail and by first-class mail; and attempted to reach him by telephone, letter and email;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did not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Ronald Dennis Jaman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lastRenderedPageBreak/>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Ronald Dennis Jaman, State Bar number 48057, be involuntarily enrolled as </w:t>
      </w:r>
    </w:p>
    <w:p>
      <w:pPr>
        <w:spacing w:line="480" w:lineRule="auto"/>
      </w:pPr>
      <w:r>
        <w:t>an inactive 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On the court’s own motion, the court takes judicial notice of the relevant </w:t>
      </w:r>
      <w:r>
        <w:rPr>
          <w:rFonts w:eastAsiaTheme="minorEastAsia"/>
        </w:rPr>
        <w:t>State Bar Court</w:t>
      </w:r>
      <w:r>
        <w:t xml:space="preserve"> records regarding this prior discipline, admits them into evidence and directs the clerk to include copies in the record of this case.</w:t>
      </w:r>
    </w:p>
  </w:footnote>
  <w:footnote w:id="5">
    <w:p>
      <w:pPr>
        <w:pStyle w:val="FootnoteText"/>
      </w:pPr>
      <w:r>
        <w:rPr>
          <w:rStyle w:val="FootnoteReference"/>
        </w:rPr>
        <w:footnoteRef/>
      </w:r>
      <w:r>
        <w:t xml:space="preserve"> Further references to RPC are to this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proofState w:spelling="clean"/>
  <w:documentProtection w:edit="forms" w:enforcement="1" w:cryptProviderType="rsaFull" w:cryptAlgorithmClass="hash" w:cryptAlgorithmType="typeAny" w:cryptAlgorithmSid="4" w:cryptSpinCount="100000" w:hash="tEdCOWjzXJ70G+SOurKxHOvCpAE=" w:salt="kHIP3JJjlPKxY0tFTZQYUg=="/>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2013-08-28T22:18:00Z</dcterms:created>
  <dcterms:modified xsi:type="dcterms:W3CDTF">2013-08-28T22:19:00Z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