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NOVEMBER 8, 2012</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MARGARET JO LOWRIE,</w:t>
            </w:r>
          </w:p>
          <w:p>
            <w:pPr>
              <w:rPr>
                <w:b/>
                <w:bCs/>
              </w:rPr>
            </w:pPr>
          </w:p>
          <w:p>
            <w:pPr>
              <w:rPr>
                <w:b/>
                <w:bCs/>
              </w:rPr>
            </w:pPr>
            <w:r>
              <w:rPr>
                <w:b/>
                <w:bCs/>
              </w:rPr>
              <w:t>Member No.  202253,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11-O-11333-LMA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Margaret Jo Lowrie (respondent) was charged with failing to perform legal services with competence, aiding the unauthorized practice of law, failing to release a file, failing to refund unearned fees, and committing an act involving moral turpitude, dishonesty or corruption in one client matter.  She failed to participate either in person or through counsel, and her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July 14, 1999, and has been a member since then.</w:t>
      </w:r>
    </w:p>
    <w:p>
      <w:pPr>
        <w:spacing w:line="480" w:lineRule="auto"/>
        <w:rPr>
          <w:b/>
        </w:rPr>
      </w:pPr>
      <w:r>
        <w:rPr>
          <w:b/>
        </w:rPr>
        <w:t>Procedural Requirements Have Been Satisfied</w:t>
      </w:r>
    </w:p>
    <w:p>
      <w:pPr>
        <w:spacing w:line="480" w:lineRule="auto"/>
      </w:pPr>
      <w:r>
        <w:rPr>
          <w:b/>
        </w:rPr>
        <w:tab/>
      </w:r>
      <w:r>
        <w:t xml:space="preserve">On October 25, 2011, the State Bar filed and properly served the NDC on respondent by certified mail, return receipt requested, at her membership records address.  The NDC notified respondent that her failure to participate in the proceeding would result in a disbarment recommendation.  (Rule 5.41.)  The return receipt was not returned to the State Bar.  </w:t>
      </w:r>
    </w:p>
    <w:p>
      <w:pPr>
        <w:spacing w:line="480" w:lineRule="auto"/>
      </w:pPr>
      <w:r>
        <w:rPr>
          <w:b/>
        </w:rPr>
        <w:tab/>
      </w:r>
      <w:r>
        <w:t>Thereafter, Deputy Trial Counsel Bruce Robinson (DTC Robinson) attempted to reach respondent by telephone at a number obtained through an internet search; at respondent’s cell phone number and at another number that she had previously given to the State Bar Intake Department; at a telephone number which was set forth on respondent’s cell phone voice message;</w:t>
      </w:r>
      <w:r>
        <w:rPr>
          <w:rStyle w:val="FootnoteReference"/>
        </w:rPr>
        <w:footnoteReference w:id="3"/>
      </w:r>
      <w:r>
        <w:t xml:space="preserve"> and at another telephone number obtained through an internet search.       </w:t>
      </w:r>
    </w:p>
    <w:p>
      <w:pPr>
        <w:spacing w:line="480" w:lineRule="auto"/>
        <w:ind w:firstLine="720"/>
      </w:pPr>
      <w:r>
        <w:t>Respondent failed to file a response to the NDC.  On December 22, 2011, the State Bar properly filed and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January 9, 2012.  The order entering the default was served on respondent at her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spacing w:line="480" w:lineRule="auto"/>
      </w:pPr>
      <w:r>
        <w:rPr>
          <w:b/>
        </w:rPr>
        <w:tab/>
      </w:r>
      <w:r>
        <w:t xml:space="preserve">Respondent also did not seek to have her default set aside or vacated.  (Rule 5.83(C)(1) [attorney has 180 days to file motion to set aside default].)  On July 30, 2012, the State Bar filed and properly served the petition for disbarment.  As required by rule 5.85(A), the State Bar reported in the petition that:  (1) the State Bar has not had any contact with respondent since her default was entered; (2) there is one pending disciplinary matter and 13 pending investigations against respondent; (3) respondent has no prior record of discipline; and (4) the Client Security Fund has not made any payments resulting from respondent’s conduct; however, there are four pending applications.  Respondent did not respond to the petition for disbarment or move to set aside or vacate the default.  The case was submitted for decision on August 27, 2012.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Case Number 11-O-11333 (Malang Matter)</w:t>
      </w:r>
    </w:p>
    <w:p>
      <w:pPr>
        <w:spacing w:line="480" w:lineRule="auto"/>
      </w:pPr>
      <w:r>
        <w:rPr>
          <w:b/>
        </w:rPr>
        <w:tab/>
      </w:r>
      <w:r>
        <w:t xml:space="preserve">Count One – respondent willfully violated rule 3-110(A) of the Rules of Professional Conduct (failing to perform legal services with competence) by failing to perform any work of substantive value in her client’s bankruptcy matter and failing to file a bankruptcy petition on behalf of her client.  </w:t>
      </w:r>
    </w:p>
    <w:p>
      <w:pPr>
        <w:spacing w:line="480" w:lineRule="auto"/>
      </w:pPr>
      <w:r>
        <w:rPr>
          <w:b/>
        </w:rPr>
        <w:tab/>
      </w:r>
      <w:r>
        <w:t xml:space="preserve">Count Two – respondent willfully violated rule 1-300(A) of the Rules of Professional Conduct (aiding the unauthorized practice of law) by having her paralegal handle all aspects of the client’s case, including consulting with the client to secure legal services and counseling and advising the client regarding legal matters. </w:t>
      </w:r>
    </w:p>
    <w:p>
      <w:pPr>
        <w:spacing w:line="480" w:lineRule="auto"/>
      </w:pPr>
      <w:r>
        <w:rPr>
          <w:b/>
        </w:rPr>
        <w:tab/>
      </w:r>
      <w:r>
        <w:t xml:space="preserve">Count Three – respondent willfully violated rule 3-700(D)(1) of the Rules of Professional Conduct (failure to return client papers/property) by failing, upon her client’s request, to give her client his file after respondent’s employment was terminated.   </w:t>
      </w:r>
    </w:p>
    <w:p>
      <w:pPr>
        <w:spacing w:line="480" w:lineRule="auto"/>
      </w:pPr>
      <w:r>
        <w:rPr>
          <w:b/>
        </w:rPr>
        <w:tab/>
      </w:r>
      <w:r>
        <w:t xml:space="preserve">Count Four- respondent willfully violated rule 3-700(D)(2) of the Rules of Professional Conduct (failing to promptly refund unearned fees) by failing to return unearned fees to her client after respondent’s services were terminated.   </w:t>
      </w:r>
    </w:p>
    <w:p>
      <w:pPr>
        <w:spacing w:line="480" w:lineRule="auto"/>
      </w:pPr>
      <w:r>
        <w:tab/>
        <w:t xml:space="preserve">Count Five – respondent willfully violated Business and Professions Code section 6106 (moral turpitude, dishonesty or corruption) by preparing a declaration for her paralegal in support of respondent’s response to a State Bar inquiry after her paralegal refused to do so; signing her paralegal’s name to the declaration without his authority; failing to inform the State Bat that she signed her paralegal’s name without his authority; and misrepresenting the statements in the declaration to be those of her paralegal.        </w:t>
      </w:r>
    </w:p>
    <w:p>
      <w:pPr>
        <w:rPr>
          <w:b/>
        </w:rPr>
      </w:pPr>
      <w:r>
        <w:rPr>
          <w:b/>
        </w:rPr>
        <w:br w:type="page"/>
      </w: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rPr>
          <w:b/>
        </w:rPr>
        <w:tab/>
      </w:r>
      <w:r>
        <w:t xml:space="preserve">(1) the NDC was properly served on respondent under rule 5.25; </w:t>
      </w:r>
    </w:p>
    <w:p>
      <w:pPr>
        <w:spacing w:line="480" w:lineRule="auto"/>
      </w:pPr>
      <w:r>
        <w:rPr>
          <w:b/>
        </w:rPr>
        <w:tab/>
      </w:r>
      <w:r>
        <w:t>(2) reasonable diligence was used to notify respondent of the proceedings prior to the entry of her default, as the State Bar filed and properly served the NDC on respondent, and the State Bar</w:t>
      </w:r>
      <w:r>
        <w:rPr>
          <w:b/>
        </w:rPr>
        <w:t xml:space="preserve"> </w:t>
      </w:r>
      <w:r>
        <w:t xml:space="preserve">attempted to reach respondent by telephone at six different telephone numbers. </w:t>
      </w:r>
    </w:p>
    <w:p>
      <w:pPr>
        <w:spacing w:line="480" w:lineRule="auto"/>
        <w:ind w:firstLine="720"/>
      </w:pP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must recommend her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Margaret Jo Lowrie be disbarred from the practice of law in the State of California and that her name be stricken from the roll of attorneys.</w:t>
      </w:r>
    </w:p>
    <w:p>
      <w:pPr>
        <w:spacing w:line="480" w:lineRule="auto"/>
        <w:rPr>
          <w:b/>
        </w:rPr>
      </w:pPr>
      <w:r>
        <w:rPr>
          <w:b/>
        </w:rPr>
        <w:t>Restitution</w:t>
      </w:r>
    </w:p>
    <w:p>
      <w:pPr>
        <w:spacing w:line="480" w:lineRule="auto"/>
      </w:pPr>
      <w:r>
        <w:rPr>
          <w:b/>
        </w:rPr>
        <w:tab/>
      </w:r>
      <w:r>
        <w:t xml:space="preserve">The court also recommends that respondent be ordered to make restitution to Ricardo Malang in the amount of $1,500 plus 10 percent interest per year from June 29, 2010.  Any restitution owed to the Client Security Fund is enforceable as provided in Business and Professions Code section 6140.5, subdivisions (c) and (d).    </w:t>
      </w:r>
    </w:p>
    <w:p>
      <w:pPr>
        <w:rPr>
          <w:b/>
        </w:rPr>
      </w:pPr>
      <w:r>
        <w:rPr>
          <w:b/>
        </w:rPr>
        <w:t>/ / /</w:t>
      </w:r>
      <w:r>
        <w:rPr>
          <w:b/>
        </w:rPr>
        <w:br w:type="page"/>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Margaret Jo Lowrie, State Bar number 202253,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November _____, 2012</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When DTC Robinson telephoned respondent’s cell phone number, he heard a message which informed callers, in part, that it was best to call Margaret on this other number.  This number, however, did not include an area code.  DTC Robinson tried to reach respondent at this number using both the 410 and 925 area codes.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VdO7pAtKNrDTpsWGZbFkQWCSHX0=" w:salt="FHnv2JCDjZF+rf6AH0SIUA=="/>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1454</Words>
  <Characters>7769</Characters>
  <Application>Microsoft Office Word</Application>
  <DocSecurity>0</DocSecurity>
  <Lines>158</Lines>
  <Paragraphs>69</Paragraphs>
  <ScaleCrop>false</ScaleCrop>
  <Manager/>
  <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2012-11-14T20:40:00Z</dcterms:created>
  <dcterms:modified xsi:type="dcterms:W3CDTF">2012-11-14T20:40:00Z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