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13, 2014</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MICHAEL PAOA AKANA,</w:t>
            </w:r>
          </w:p>
          <w:p>
            <w:pPr>
              <w:rPr>
                <w:b/>
                <w:bCs/>
              </w:rPr>
            </w:pPr>
          </w:p>
          <w:p>
            <w:pPr>
              <w:rPr>
                <w:b/>
                <w:bCs/>
              </w:rPr>
            </w:pPr>
            <w:r>
              <w:rPr>
                <w:b/>
                <w:bCs/>
              </w:rPr>
              <w:t>Member No.  80882,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11-O-12215-PEM</w:t>
            </w:r>
          </w:p>
          <w:p>
            <w:pPr>
              <w:rPr>
                <w:bCs/>
              </w:rPr>
            </w:pPr>
            <w:r>
              <w:rPr>
                <w:bCs/>
              </w:rPr>
              <w:t>(13-O-13170); 13-O-11274 (Cons.)</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Michael Paoa Akana was charged with six counts of misconduct stemming from three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June 29, 1978, and has been a member since then.  </w:t>
      </w:r>
    </w:p>
    <w:p>
      <w:pPr>
        <w:spacing w:line="480" w:lineRule="auto"/>
        <w:rPr>
          <w:b/>
        </w:rPr>
      </w:pPr>
      <w:r>
        <w:rPr>
          <w:b/>
        </w:rPr>
        <w:t>Procedural Requirements Have Been Satisfied</w:t>
      </w:r>
    </w:p>
    <w:p>
      <w:pPr>
        <w:spacing w:line="480" w:lineRule="auto"/>
        <w:ind w:firstLine="720"/>
      </w:pPr>
      <w:r>
        <w:t>On October 18, 2013, the State Bar properly filed and served an NDC, in case nos. 11</w:t>
      </w:r>
      <w:r>
        <w:noBreakHyphen/>
        <w:t>O</w:t>
      </w:r>
      <w:r>
        <w:noBreakHyphen/>
        <w:t>12215 (13</w:t>
      </w:r>
      <w:r>
        <w:noBreakHyphen/>
        <w:t>O</w:t>
      </w:r>
      <w:r>
        <w:noBreakHyphen/>
        <w:t>13170), on respondent by certified mail, return receipt requested, at his membership records address.  On November 18, 2013, the State Bar properly filed and served a second NDC, in case no. 13</w:t>
      </w:r>
      <w:r>
        <w:noBreakHyphen/>
        <w:t>O</w:t>
      </w:r>
      <w:r>
        <w:noBreakHyphen/>
        <w:t xml:space="preserve">11274, on respondent by certified mail, return receipt requested, at his membership records address.  The NDCs notified respondent that his failure to participate in the proceedings would result in a disbarment recommendation.  (Rule 5.41.)  The NDCs were both returned to the State Bar by the U.S. Postal Service as undeliverable.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him and leaving a message at his membership records telephone number, checking with the Office of Probation of the State Bar of California (Office of Probation) for alternative contact information for respondent, sending an email to respondent at his official membership records email address, conducting various internet searches for alternative contact information, and calling possible alternative telephone numbers identified in the State Bar’s internet searches.  </w:t>
      </w:r>
    </w:p>
    <w:p>
      <w:pPr>
        <w:spacing w:line="480" w:lineRule="auto"/>
        <w:ind w:firstLine="720"/>
      </w:pPr>
      <w:r>
        <w:t xml:space="preserve">Respondent failed to file a response to the NDCs.  On December 26, 2013, the State Bar filed and properly served a motion for entry of respondent’s default.  The motion complied with </w:t>
      </w:r>
      <w:r>
        <w:lastRenderedPageBreak/>
        <w:t>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January 13,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180 days to file motion to set aside default].)  On August 1, 2014, the State Bar filed the petition for disbarment.  As required by rule 5.85(A), the State Bar reported in the petition that:  (1) it has had no contact with respondent since the default was entered; (2) respondent has one other disciplinary matter pending; (3) respondent has no prior record of discipline; and (4) the Client Security Fund has not made any payments resulting from respondent’s conduct.  Respondent did not respond to the petition for disbarment or move to set aside or vacate the default.  The case was submitted for decision on September 15, 2014.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NDCs are deemed admitted and no further proof is required to establish the truth of such facts.  (Rule 5.82.)  As set forth below in greater detail, the factual allegations in the NDCs support the conclusion that respondent is culpable as charged, except as otherwise noted, and, therefore, violated a statute, rule, or court order that would warrant the imposition of discipline.  (Rule 5.85(E)(1)(d).)  </w:t>
      </w:r>
    </w:p>
    <w:p>
      <w:pPr>
        <w:rPr>
          <w:b/>
        </w:rPr>
      </w:pPr>
      <w:r>
        <w:rPr>
          <w:b/>
        </w:rPr>
        <w:br w:type="page"/>
      </w:r>
    </w:p>
    <w:p>
      <w:pPr>
        <w:spacing w:line="480" w:lineRule="auto"/>
        <w:ind w:firstLine="720"/>
        <w:rPr>
          <w:b/>
        </w:rPr>
      </w:pPr>
      <w:r>
        <w:rPr>
          <w:b/>
        </w:rPr>
        <w:lastRenderedPageBreak/>
        <w:t>Case No. 13-O-13170 – The Agreement in Lieu of Discipline Matter</w:t>
      </w:r>
    </w:p>
    <w:p>
      <w:pPr>
        <w:spacing w:line="480" w:lineRule="auto"/>
        <w:ind w:firstLine="720"/>
      </w:pPr>
      <w:r>
        <w:t>Count One – respondent willfully violated Business and Professions Code section 6068, subdivision (l) (failure to comply with conditions of agreement in lieu of discipline), by failing to timely submit four quarterly reports and failing to promptly report his change of address to the Office of Probation.</w:t>
      </w:r>
    </w:p>
    <w:p>
      <w:pPr>
        <w:spacing w:line="480" w:lineRule="auto"/>
        <w:ind w:firstLine="720"/>
        <w:rPr>
          <w:b/>
        </w:rPr>
      </w:pPr>
      <w:r>
        <w:rPr>
          <w:b/>
        </w:rPr>
        <w:t>Case No. 11-O-12215 – The Lawson Matter</w:t>
      </w:r>
    </w:p>
    <w:p>
      <w:pPr>
        <w:spacing w:line="480" w:lineRule="auto"/>
        <w:ind w:firstLine="720"/>
      </w:pPr>
      <w:r>
        <w:t>Count Two – respondent willfully violated Rules of Professional Conduct, rule 3</w:t>
      </w:r>
      <w:r>
        <w:noBreakHyphen/>
        <w:t>110(A) (failure to perform legal services with competence) by failing to supervise his non-attorney employee and permitting this employee to provide legal advice to respondent’s client.</w:t>
      </w:r>
    </w:p>
    <w:p>
      <w:pPr>
        <w:spacing w:line="480" w:lineRule="auto"/>
        <w:ind w:firstLine="720"/>
      </w:pPr>
      <w:r>
        <w:t>Count Three – the court does not find respondent culpable of willfully violating Business and Professions Code section 6068, subdivision (m) (failure to inform client of significant developments), as there is no clear and convincing evidence that respondent failed to inform a client of a significant development.</w:t>
      </w:r>
      <w:r>
        <w:rPr>
          <w:rStyle w:val="FootnoteReference"/>
        </w:rPr>
        <w:footnoteReference w:id="3"/>
      </w:r>
      <w:r>
        <w:t xml:space="preserve">  </w:t>
      </w:r>
    </w:p>
    <w:p>
      <w:pPr>
        <w:spacing w:line="480" w:lineRule="auto"/>
        <w:ind w:firstLine="720"/>
        <w:rPr>
          <w:b/>
        </w:rPr>
      </w:pPr>
      <w:r>
        <w:rPr>
          <w:b/>
        </w:rPr>
        <w:t>Case No. 13-O-11274 – The Lee Matter</w:t>
      </w:r>
    </w:p>
    <w:p>
      <w:pPr>
        <w:spacing w:line="480" w:lineRule="auto"/>
        <w:ind w:firstLine="720"/>
      </w:pPr>
      <w:r>
        <w:t>Count One – the court does not find respondent culpable of willfully violating Rules of Professional Conduct, rule 3</w:t>
      </w:r>
      <w:r>
        <w:noBreakHyphen/>
        <w:t>110(A) (failure to perform) as there is no clear and convincing evidence that respondent intentionally, recklessly, or repeatedly failed to perform legal services with competence.</w:t>
      </w:r>
      <w:r>
        <w:rPr>
          <w:rStyle w:val="FootnoteReference"/>
        </w:rPr>
        <w:footnoteReference w:id="4"/>
      </w:r>
      <w:r>
        <w:t xml:space="preserve">  </w:t>
      </w:r>
    </w:p>
    <w:p>
      <w:pPr>
        <w:spacing w:line="480" w:lineRule="auto"/>
        <w:ind w:firstLine="720"/>
      </w:pPr>
      <w:r>
        <w:lastRenderedPageBreak/>
        <w:t>Count Two – respondent willfully violated Rules of Professional Conduct, rule 3</w:t>
      </w:r>
      <w:r>
        <w:noBreakHyphen/>
        <w:t>700(D)(2) (failure to refund unearned fees) by performing no legal services of value and failing to promptly refund his client’s unearned advanced fees.</w:t>
      </w:r>
    </w:p>
    <w:p>
      <w:pPr>
        <w:spacing w:line="480" w:lineRule="auto"/>
        <w:ind w:firstLine="720"/>
      </w:pPr>
      <w:r>
        <w:t>Count Three – respondent willfully violated Business and Professions Code section 6068, subdivision (j) (failure to update membership address), by failing to notify the State Bar of the change in respondent’s address within 30 days of said change.</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NDCs were properly served on respondent under rule 5.25;</w:t>
      </w:r>
    </w:p>
    <w:p>
      <w:pPr>
        <w:spacing w:line="480" w:lineRule="auto"/>
        <w:ind w:firstLine="720"/>
      </w:pPr>
      <w:r>
        <w:t>(2) reasonable diligence was used to notify respondent of the proceedings prior to the entry of his default, as the State Bar properly served him with the NDCs and made various efforts to contact respondent, including calling him and leaving a message at his membership records telephone number, checking with the Office of Probation for alternative contact information, sending an email to respondent at his official membership records email address, conducting various internet searches for alternative contact information, and calling possible alternative telephone numbers identified in the State Bar’s internet searches;</w:t>
      </w:r>
    </w:p>
    <w:p>
      <w:pPr>
        <w:spacing w:line="480" w:lineRule="auto"/>
        <w:ind w:firstLine="720"/>
      </w:pPr>
      <w:r>
        <w:t>(3) the default was properly entered under rule 5.80; and</w:t>
      </w:r>
    </w:p>
    <w:p>
      <w:pPr>
        <w:spacing w:line="480" w:lineRule="auto"/>
        <w:ind w:firstLine="720"/>
      </w:pPr>
      <w:r>
        <w:t>(4) the factual allegations in the NDCs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lastRenderedPageBreak/>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Michael Paoa Akana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Yvonne Lee in the amount of $1,200 plus 10 percent interest per year from February 1, 2012.  Any restitution owed to the Client Security Fund is enforceable as provided in Business and Professions Code section 6140.5, subdivisions (c) and (d).</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Michael Paoa Akana, State Bar number 80882, be involuntarily enrolled as an </w:t>
      </w:r>
    </w:p>
    <w:p>
      <w:r>
        <w:t>/ / /</w:t>
      </w:r>
      <w:r>
        <w:br w:type="page"/>
      </w:r>
    </w:p>
    <w:p>
      <w:pPr>
        <w:spacing w:line="480" w:lineRule="auto"/>
      </w:pPr>
      <w:r>
        <w:lastRenderedPageBreak/>
        <w:t>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State Bar’s allegation that respondent failed to give adequate or complete legal advice does not constitute a “significant development.”  </w:t>
      </w:r>
    </w:p>
  </w:footnote>
  <w:footnote w:id="4">
    <w:p>
      <w:pPr>
        <w:pStyle w:val="FootnoteText"/>
      </w:pPr>
      <w:r>
        <w:rPr>
          <w:rStyle w:val="FootnoteReference"/>
        </w:rPr>
        <w:footnoteRef/>
      </w:r>
      <w:r>
        <w:t xml:space="preserve"> The State Bar merely alleged that respondent “performed no legal services of value.”  This allegation is vague and arbitrary and does not establish, by clear and convincing evidence, that respondent intentionally, recklessly, or repeatedly failed to perform legal services with competence.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XsRnws8zTLYTW5JVk/dOVfHtgzo=" w:salt="KSrDxoelkd4w9CuPLKPFRQ=="/>
  <w:defaultTabStop w:val="720"/>
  <w:drawingGridHorizontalSpacing w:val="120"/>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1524</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2014-11-19T19:34:00Z</dcterms:created>
  <dcterms:modified xsi:type="dcterms:W3CDTF">2014-11-19T19:45:00Z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