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OCTOBER 4,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PHICH KONG TAING,</w:t>
            </w:r>
          </w:p>
          <w:p>
            <w:pPr>
              <w:rPr>
                <w:b/>
                <w:bCs/>
              </w:rPr>
            </w:pPr>
          </w:p>
          <w:p>
            <w:pPr>
              <w:rPr>
                <w:b/>
                <w:bCs/>
              </w:rPr>
            </w:pPr>
            <w:r>
              <w:rPr>
                <w:b/>
                <w:bCs/>
              </w:rPr>
              <w:t>Member No.  244372,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11-O-12391-RAH</w:t>
            </w:r>
          </w:p>
          <w:p>
            <w:pPr>
              <w:rPr>
                <w:bCs/>
              </w:rPr>
            </w:pPr>
            <w:r>
              <w:rPr>
                <w:bCs/>
              </w:rPr>
              <w:t>11-O-10127 (11-O-11708) Cons.</w:t>
            </w:r>
          </w:p>
          <w:p>
            <w:pPr>
              <w:rPr>
                <w:b/>
                <w:bCs/>
              </w:rPr>
            </w:pPr>
          </w:p>
        </w:tc>
      </w:tr>
      <w:tr>
        <w:trPr>
          <w:cantSplit/>
          <w:trHeight w:val="106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Phich Kong Taing (respondent) was charged with (1) committing acts involving moral turpitude, dishonesty or corruption by misappropriating nearly $30,000 in client funds; (2) failing to maintain the balance of funds received for the benefit of his clients in a trust account; (3) failing to release a client file; and (4) failing to cooperate with State Bar investigations.  He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ind w:firstLine="720"/>
      </w:pP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November 21, 2006, and has been a member since then.</w:t>
      </w:r>
    </w:p>
    <w:p>
      <w:pPr>
        <w:spacing w:line="480" w:lineRule="auto"/>
        <w:rPr>
          <w:b/>
        </w:rPr>
      </w:pPr>
      <w:r>
        <w:rPr>
          <w:b/>
        </w:rPr>
        <w:t>Procedural Requirements Have Been Satisfied</w:t>
      </w:r>
    </w:p>
    <w:p>
      <w:pPr>
        <w:spacing w:line="480" w:lineRule="auto"/>
        <w:ind w:firstLine="720"/>
      </w:pPr>
      <w:r>
        <w:t xml:space="preserve">On September 15 and 27, 2011, the State Bar filed and properly served an NDC on respondent in case no. 11-O-12391 (NDC #1), and an NDC on respondent in case nos. 11-O-10127 and 11-O-11708 (NDC #2), respectively, by certified mail, return receipt requested, at his membership records address.  The United States Postal Service returned both NDC #1 and NDC #2 as undeliverable.  Both NDC #1 and NDC #2 notified respondent that his failure to participate in the proceeding would result in a disbarment recommendation.  (Rule 5.41.)  </w:t>
      </w:r>
    </w:p>
    <w:p>
      <w:pPr>
        <w:spacing w:line="480" w:lineRule="auto"/>
        <w:ind w:firstLine="720"/>
      </w:pPr>
      <w:r>
        <w:t>Respondent is no longer at his membership records address or telephone number.  Mail sent to that address has been returned as undeliverable, and respondent’s telephone number is disconnected.</w:t>
      </w:r>
      <w:r>
        <w:rPr>
          <w:rStyle w:val="FootnoteReference"/>
        </w:rPr>
        <w:footnoteReference w:id="3"/>
      </w:r>
      <w:r>
        <w:t xml:space="preserve">  However, reasonable diligence was used to notify respondent of this proceeding.  A search of various internet-based search databases for alternate addresses for respondent revealed two other possible addresses.  The State Bar sent letters to both of the possible addresses for respondent, but did not receive a response.</w:t>
      </w:r>
      <w:r>
        <w:rPr>
          <w:rStyle w:val="FootnoteReference"/>
        </w:rPr>
        <w:footnoteReference w:id="4"/>
      </w:r>
      <w:r>
        <w:t xml:space="preserve">  The State Bar also emailed NDC #1 and NDC #2 to respondent at the two email addresses listed in his official membership records.</w:t>
      </w:r>
      <w:r>
        <w:rPr>
          <w:rStyle w:val="FootnoteReference"/>
        </w:rPr>
        <w:footnoteReference w:id="5"/>
      </w:r>
      <w:r>
        <w:t xml:space="preserve">  The State Bar did not receive a response; however, there was no indication that the email did not arrive at its intended destinations.  </w:t>
      </w:r>
    </w:p>
    <w:p>
      <w:pPr>
        <w:spacing w:line="480" w:lineRule="auto"/>
        <w:ind w:firstLine="720"/>
      </w:pPr>
      <w:r>
        <w:t>Respondent failed to file a response to NDC #1 or NDC #2.  On November 28, 2011, NDC #1 and NDC #2 were consolidated.  That same day,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January 5, 2012.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ind w:firstLine="720"/>
      </w:pPr>
      <w:r>
        <w:t xml:space="preserve">Respondent also did not seek to have his default set aside or vacated.  (Rule 5.83(C)(1) [attorney has 180 days to file motion to set aside default].)  On July 17, 2012, the State Bar filed the petition for disbarment.  As required by rule 5.85(A), the State Bar reported in the petition that:  (1) respondent has not contacted the State Bar since the default was entered on January 5, 2012; (2) there are other matters pending that have not been filed with the State Bar Court; (3) respondent has no prior record of discipline; and (4) the Client Security Fund has not made payments resulting from respondent’s conduct.  Respondent did not respond to the petition for disbarment or move to set aside or vacate the default.  The case was submitted for decision on September 7, 2012.  </w:t>
      </w:r>
    </w:p>
    <w:p>
      <w:pPr>
        <w:spacing w:line="480" w:lineRule="auto"/>
        <w:rPr>
          <w:b/>
        </w:rPr>
      </w:pPr>
      <w:r>
        <w:rPr>
          <w:b/>
        </w:rPr>
        <w:t>The Admitted Factual Allegations Warrant the Imposition of Discipline</w:t>
      </w:r>
    </w:p>
    <w:p>
      <w:pPr>
        <w:spacing w:line="480" w:lineRule="auto"/>
        <w:ind w:firstLine="720"/>
      </w:pPr>
      <w:r>
        <w:t xml:space="preserve">Upon entry of respondent’s default, the factual allegations in NDC #1 and NDC #2 are deemed admitted and no further proof is required to establish the truth of such facts.  (Rule 5.82.)  As set forth below in greater detail, the factual allegations in NDC #1 and NDC #2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11-O-12391 (The Lam Matter)</w:t>
      </w:r>
    </w:p>
    <w:p>
      <w:pPr>
        <w:spacing w:line="480" w:lineRule="auto"/>
        <w:ind w:firstLine="720"/>
      </w:pPr>
      <w:r>
        <w:t xml:space="preserve">Count One – respondent willfully violated rule 4-100(A) of the Rules of Professional Conduct (failing to maintain client funds in trust) by failing to maintain the balance of funds received for the benefit of a client and deposited in a bank account labeled as a trust account.  </w:t>
      </w:r>
    </w:p>
    <w:p>
      <w:pPr>
        <w:spacing w:line="480" w:lineRule="auto"/>
        <w:ind w:firstLine="720"/>
      </w:pPr>
      <w:r>
        <w:t>Count Two - respondent willfully violated Business and Professions Code section 6106 (moral turpitude, dishonesty or corruption) by misappropriating $9,705 in entrusted funds.</w:t>
      </w:r>
      <w:r>
        <w:rPr>
          <w:rStyle w:val="FootnoteReference"/>
        </w:rPr>
        <w:footnoteReference w:id="6"/>
      </w:r>
    </w:p>
    <w:p>
      <w:pPr>
        <w:spacing w:line="480" w:lineRule="auto"/>
        <w:ind w:firstLine="720"/>
      </w:pPr>
      <w:r>
        <w:t xml:space="preserve">Count Three – respondent willfully violated rule 3-700(D)(1) of the Rules of Professional Conduct (failure to release file) by failing to promptly release his client’s file upon termination of employment and at the request of the client.  </w:t>
      </w:r>
    </w:p>
    <w:p>
      <w:pPr>
        <w:spacing w:line="480" w:lineRule="auto"/>
        <w:ind w:firstLine="720"/>
      </w:pPr>
      <w:r>
        <w:t>Count Four - respondent willfully violated Business and Professions Code section 6068, subdivision (i) (failure to cooperate in a State Bar investigation) by failing to respond to the State Bar investigator’s May 19 and June 22, 2011 letters.</w:t>
      </w:r>
    </w:p>
    <w:p>
      <w:pPr>
        <w:spacing w:line="480" w:lineRule="auto"/>
        <w:ind w:firstLine="720"/>
      </w:pPr>
    </w:p>
    <w:p>
      <w:pPr>
        <w:spacing w:line="480" w:lineRule="auto"/>
        <w:ind w:firstLine="720"/>
        <w:rPr>
          <w:b/>
        </w:rPr>
      </w:pPr>
      <w:r>
        <w:rPr>
          <w:b/>
        </w:rPr>
        <w:t>Case Number 11-O-11708 (The Chen Matter)</w:t>
      </w:r>
    </w:p>
    <w:p>
      <w:pPr>
        <w:spacing w:line="480" w:lineRule="auto"/>
        <w:ind w:firstLine="720"/>
      </w:pPr>
      <w:r>
        <w:t xml:space="preserve">Count One – respondent willfully violated rule 4-100(A) of the Rules of Professional Conduct by failing to maintain the balance of funds received for the benefit of a client and deposited in a bank account labeled as a trust account.  </w:t>
      </w:r>
    </w:p>
    <w:p>
      <w:pPr>
        <w:spacing w:line="480" w:lineRule="auto"/>
        <w:ind w:firstLine="720"/>
      </w:pPr>
      <w:r>
        <w:t>Count Two - respondent willfully violated Business and Professions Code section 6106 by misappropriating $9,830.78 in entrusted funds.</w:t>
      </w:r>
      <w:r>
        <w:rPr>
          <w:rStyle w:val="FootnoteReference"/>
        </w:rPr>
        <w:footnoteReference w:id="7"/>
      </w:r>
    </w:p>
    <w:p>
      <w:pPr>
        <w:spacing w:line="480" w:lineRule="auto"/>
        <w:ind w:firstLine="720"/>
      </w:pPr>
      <w:r>
        <w:t>Count Three - respondent willfully violated Business and Professions Code section 6068, subdivision (i) by failing to respond to the State Bar investigator’s May 17 and June 3, 2011 letters.</w:t>
      </w:r>
    </w:p>
    <w:p>
      <w:pPr>
        <w:spacing w:line="480" w:lineRule="auto"/>
        <w:ind w:firstLine="720"/>
        <w:rPr>
          <w:b/>
        </w:rPr>
      </w:pPr>
      <w:r>
        <w:rPr>
          <w:b/>
        </w:rPr>
        <w:t>Case Number 11-O-10127 (The Han Matter)</w:t>
      </w:r>
    </w:p>
    <w:p>
      <w:pPr>
        <w:spacing w:line="480" w:lineRule="auto"/>
        <w:ind w:firstLine="720"/>
      </w:pPr>
      <w:r>
        <w:t xml:space="preserve">Count Four – respondent willfully violated rule 4-100(A) of the Rules of Professional Conduct by failing to maintain the balance of funds received for the benefit of a client and deposited in a bank account labeled as a trust account.  </w:t>
      </w:r>
    </w:p>
    <w:p>
      <w:pPr>
        <w:spacing w:line="480" w:lineRule="auto"/>
        <w:ind w:firstLine="720"/>
      </w:pPr>
      <w:r>
        <w:t>Count Five - respondent willfully violated Business and Professions Code section 6106 by misappropriating $9,705.78 in entrusted funds.</w:t>
      </w:r>
      <w:r>
        <w:rPr>
          <w:rStyle w:val="FootnoteReference"/>
        </w:rPr>
        <w:footnoteReference w:id="8"/>
      </w:r>
    </w:p>
    <w:p>
      <w:pPr>
        <w:spacing w:line="480" w:lineRule="auto"/>
        <w:ind w:firstLine="720"/>
      </w:pPr>
      <w:r>
        <w:t>Count Three - respondent willfully violated Business and Professions Code section 6068, subdivision (i) by failing to respond to the State Bar investigator’s January 21 and February 10, 2011 letters.</w:t>
      </w:r>
    </w:p>
    <w:p>
      <w:pPr>
        <w:spacing w:line="480" w:lineRule="auto"/>
        <w:rPr>
          <w:b/>
        </w:rPr>
      </w:pPr>
      <w:r>
        <w:rPr>
          <w:b/>
        </w:rPr>
        <w:t>Disbarment is Mandated under the Rules of Procedure</w:t>
      </w:r>
    </w:p>
    <w:p>
      <w:pPr>
        <w:spacing w:line="480" w:lineRule="auto"/>
        <w:ind w:firstLine="720"/>
      </w:pPr>
      <w:r>
        <w:t>Based on the above, the court concludes that the requirements of rule 5.85(E) have been satisfied, and respondent’s disbarment must be recommended.  In particular:</w:t>
      </w:r>
    </w:p>
    <w:p>
      <w:pPr>
        <w:spacing w:line="480" w:lineRule="auto"/>
        <w:ind w:firstLine="720"/>
      </w:pPr>
      <w:r>
        <w:t xml:space="preserve">(1) NDC #1 and NDC #2 were properly served on respondent under rule 5.25; </w:t>
      </w:r>
    </w:p>
    <w:p>
      <w:pPr>
        <w:spacing w:line="480" w:lineRule="auto"/>
        <w:ind w:firstLine="720"/>
        <w:rPr>
          <w:b/>
        </w:rPr>
      </w:pPr>
      <w:r>
        <w:t xml:space="preserve">(2) reasonable diligence was used to notify respondent of the proceedings prior to the entry of his default, as the State Bar made various efforts to locate respondent, including emailing copies of the NDC to respondent at his two membership records email addresses and mailing correspondence to him at two additional possible addresses; </w:t>
      </w:r>
    </w:p>
    <w:p>
      <w:pPr>
        <w:spacing w:line="480" w:lineRule="auto"/>
        <w:ind w:firstLine="720"/>
      </w:pPr>
      <w:r>
        <w:t>(3) the default was properly entered under rule 5.80; and</w:t>
      </w:r>
    </w:p>
    <w:p>
      <w:pPr>
        <w:spacing w:line="480" w:lineRule="auto"/>
        <w:ind w:firstLine="720"/>
      </w:pPr>
      <w:r>
        <w:t>(4) the factual allegations in NDC #1 and NDC #2 are deemed admitted by the entry of default and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Phich Kong Taing be disbarred from the practice of law in the State of California and that his name be stricken from the roll of attorneys.</w:t>
      </w:r>
    </w:p>
    <w:p>
      <w:pPr>
        <w:spacing w:line="480" w:lineRule="auto"/>
        <w:rPr>
          <w:b/>
        </w:rPr>
      </w:pPr>
      <w:r>
        <w:rPr>
          <w:b/>
        </w:rPr>
        <w:t>Restitution</w:t>
      </w:r>
    </w:p>
    <w:p>
      <w:pPr>
        <w:spacing w:line="480" w:lineRule="auto"/>
        <w:ind w:firstLine="720"/>
      </w:pPr>
      <w:r>
        <w:t>The court also recommends that respondent be ordered to make restitution to the following payees:</w:t>
      </w:r>
    </w:p>
    <w:p>
      <w:pPr>
        <w:ind w:left="1170" w:hanging="450"/>
      </w:pPr>
      <w:r>
        <w:t xml:space="preserve">(1)   Henry Lam in the amount of $10,000 plus 10 percent interest per year from September 2, 2010; </w:t>
      </w:r>
    </w:p>
    <w:p>
      <w:pPr>
        <w:ind w:left="1170" w:hanging="450"/>
      </w:pPr>
    </w:p>
    <w:p>
      <w:pPr>
        <w:ind w:left="1170" w:hanging="450"/>
      </w:pPr>
      <w:r>
        <w:t xml:space="preserve">(2)   Jun Chen in the amount of $10,125 plus 10 percent interest per year from December 20, 2010; and </w:t>
      </w:r>
    </w:p>
    <w:p>
      <w:pPr>
        <w:ind w:left="1170" w:hanging="450"/>
      </w:pPr>
    </w:p>
    <w:p>
      <w:pPr>
        <w:ind w:left="1170" w:hanging="450"/>
      </w:pPr>
      <w:r>
        <w:t>(3)   Cheng Han in the amount of $10,000 plus 10 percent interest per year from January 12, 2010.</w:t>
      </w:r>
    </w:p>
    <w:p>
      <w:pPr>
        <w:ind w:left="1170" w:hanging="450"/>
      </w:pP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Phich Kong Taing, State Bar number 244372,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October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Prior to the filing of NDC #1, a State Bar investigator went to respondent’s membership records address and found the suite empty.  The investigator identified other possible addresses for respondent in a Lexis-Smartlinks search.  He traveled to those addresses, but was unable to locate respondent or anyone else who was aware of respondent’s whereabouts.  </w:t>
      </w:r>
    </w:p>
  </w:footnote>
  <w:footnote w:id="4">
    <w:p>
      <w:pPr>
        <w:pStyle w:val="FootnoteText"/>
      </w:pPr>
      <w:r>
        <w:rPr>
          <w:rStyle w:val="FootnoteReference"/>
        </w:rPr>
        <w:footnoteRef/>
      </w:r>
      <w:r>
        <w:t xml:space="preserve"> One of these two letters was returned to the State Bar as undeliverable.</w:t>
      </w:r>
    </w:p>
  </w:footnote>
  <w:footnote w:id="5">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6">
    <w:p>
      <w:pPr>
        <w:pStyle w:val="FootnoteText"/>
      </w:pPr>
      <w:r>
        <w:rPr>
          <w:rStyle w:val="FootnoteReference"/>
        </w:rPr>
        <w:footnoteRef/>
      </w:r>
      <w:r>
        <w:t xml:space="preserve"> Although the client was entitled to receive $10,000, respondent was charged with misappropriating $9,705 because a small amount of money remained in respondent’s client trust account.  </w:t>
      </w:r>
    </w:p>
  </w:footnote>
  <w:footnote w:id="7">
    <w:p>
      <w:pPr>
        <w:pStyle w:val="FootnoteText"/>
      </w:pPr>
      <w:r>
        <w:rPr>
          <w:rStyle w:val="FootnoteReference"/>
        </w:rPr>
        <w:footnoteRef/>
      </w:r>
      <w:r>
        <w:t xml:space="preserve"> Although the client was entitled to receive $10,125, respondent was charged with misappropriating $9,830.78 because a small amount of money remained in respondent’s client trust account.  </w:t>
      </w:r>
    </w:p>
  </w:footnote>
  <w:footnote w:id="8">
    <w:p>
      <w:pPr>
        <w:pStyle w:val="FootnoteText"/>
      </w:pPr>
      <w:r>
        <w:rPr>
          <w:rStyle w:val="FootnoteReference"/>
        </w:rPr>
        <w:footnoteRef/>
      </w:r>
      <w:r>
        <w:t xml:space="preserve"> Although the client was entitled to receive $10,000, respondent was charged with misappropriating $9,705.78 because a small amount of money remained in respondent’s client trust account.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sdednzGrUKysR7SbL3GhZgssBOI=" w:salt="c3rxuS7hwrRV8ARI6zxD4Q=="/>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1710</Words>
  <Characters>8944</Characters>
  <Application>Microsoft Office Word</Application>
  <DocSecurity>0</DocSecurity>
  <Lines>186</Lines>
  <Paragraphs>81</Paragraphs>
  <ScaleCrop>false</ScaleCrop>
  <Manager/>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2012-10-10T21:51:00Z</dcterms:created>
  <dcterms:modified xsi:type="dcterms:W3CDTF">2012-10-10T21:51:00Z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