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DECEMBER 3, 2012</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RODNEY LYNN DYCHE,</w:t>
            </w:r>
          </w:p>
          <w:p>
            <w:pPr>
              <w:rPr>
                <w:b/>
                <w:bCs/>
              </w:rPr>
            </w:pPr>
          </w:p>
          <w:p>
            <w:pPr>
              <w:rPr>
                <w:b/>
                <w:bCs/>
              </w:rPr>
            </w:pPr>
            <w:r>
              <w:rPr>
                <w:b/>
                <w:bCs/>
              </w:rPr>
              <w:t>Member No.  246847,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11-O-12497-LMA</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single-client matter, respondent Rodney Lynn Dyche (respondent) was charged with (1) failing to refund $7,000 in unearned fees; (2) failing to return a client file; and (3) failing to cooperate in a disciplinary investigation.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December 1, 2006, and has been a member since then.  </w:t>
      </w:r>
    </w:p>
    <w:p>
      <w:pPr>
        <w:spacing w:line="480" w:lineRule="auto"/>
        <w:rPr>
          <w:b/>
        </w:rPr>
      </w:pPr>
      <w:r>
        <w:rPr>
          <w:b/>
        </w:rPr>
        <w:t>Procedural Requirements Have Been Satisfied</w:t>
      </w:r>
    </w:p>
    <w:p>
      <w:pPr>
        <w:spacing w:line="480" w:lineRule="auto"/>
        <w:ind w:firstLine="720"/>
      </w:pPr>
      <w:r>
        <w:t xml:space="preserve">On September 27, 2011, the State Bar properly filed and served an NDC on respondent by certified mail, return receipt requested, at his membership records address.  The NDC notified respondent that his failure to participate in the proceeding would result in a disbarment recommendation.  (Rule 5.41.)  On October 4, 2011, a return card was received by the State Bar, signed by Beate Simpson.  </w:t>
      </w:r>
    </w:p>
    <w:p>
      <w:pPr>
        <w:spacing w:line="480" w:lineRule="auto"/>
        <w:ind w:firstLine="720"/>
      </w:pPr>
      <w:r>
        <w:t>In addition, reasonable diligence was also used to notify respondent of this proceeding.  On October 31, 2011, the State Bar sent respondent an email advising that he needed to file a response to the NDC and reminding him that there was an initial status conference scheduled that same day.  The State Bar then called respondent’s parents and obtained a phone number for him.</w:t>
      </w:r>
      <w:r>
        <w:rPr>
          <w:rStyle w:val="FootnoteReference"/>
        </w:rPr>
        <w:footnoteReference w:id="3"/>
      </w:r>
      <w:r>
        <w:t xml:space="preserve">  The State Bar proceeded to call that phone number and left a voicemail message advising respondent to file a response to the NDC and reminding him that there was an initial status conference scheduled that same day.  Despite these efforts, respondent did not appear for the initial telephonic status conference.</w:t>
      </w:r>
    </w:p>
    <w:p>
      <w:pPr>
        <w:spacing w:line="480" w:lineRule="auto"/>
        <w:ind w:firstLine="720"/>
      </w:pPr>
      <w:r>
        <w:t xml:space="preserve">On October 31, 2011, the State Bar mailed a courtesy copy of the NDC by regular first-class mail to respondent at his membership records address and at a possible alternative address obtained from lexis.com.  These mailings were not subsequently returned by the U.S. Postal Service.  </w:t>
      </w:r>
    </w:p>
    <w:p>
      <w:pPr>
        <w:spacing w:line="480" w:lineRule="auto"/>
        <w:ind w:firstLine="720"/>
      </w:pPr>
      <w:r>
        <w:t>On November 1, 2011, the State Bar received an email from respondent.  He stated that he had attempted to return the State Bar’s call, but there was no answer.  Respondent confirmed that the telephone number obtained from respondent’s parents was his correct telephone number and stated that he would attempt to contact the State Bar again.  That same day, the State Bar sent respondent a return email advising him to file his response by November 8, 2011, or the State Bar would file a motion for entry of default.</w:t>
      </w:r>
    </w:p>
    <w:p>
      <w:pPr>
        <w:spacing w:line="480" w:lineRule="auto"/>
        <w:ind w:firstLine="720"/>
      </w:pPr>
      <w:r>
        <w:t xml:space="preserve">Respondent failed to file a response to the NDC.  On November 10, 2011, the State Bar left a voicemail message for respondent advising that a motion for entry of his default would be filed.  </w:t>
      </w:r>
    </w:p>
    <w:p>
      <w:pPr>
        <w:spacing w:line="480" w:lineRule="auto"/>
        <w:ind w:firstLine="720"/>
      </w:pPr>
      <w:r>
        <w:t>On November 15,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December 1,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pPr>
      <w:r>
        <w:rPr>
          <w:b/>
        </w:rPr>
        <w:tab/>
      </w:r>
      <w:r>
        <w:t xml:space="preserve">Respondent also did not seek to have his default set aside or vacated.  (Rule 5.83(C)(1) [attorney has 180 days to file motion to set aside default].)  On August 28, 2012, the State Bar filed the petition for disbarment.  As required by rule 5.85(A), the State Bar reported in the petition that:  (1) it has had no contact with respondent since the default was entered; </w:t>
      </w:r>
    </w:p>
    <w:p>
      <w:pPr>
        <w:pStyle w:val="Header"/>
        <w:tabs>
          <w:tab w:val="clear" w:pos="4320"/>
          <w:tab w:val="clear" w:pos="8640"/>
        </w:tabs>
        <w:spacing w:line="480" w:lineRule="auto"/>
        <w:rPr>
          <w:b/>
        </w:rPr>
      </w:pPr>
      <w:r>
        <w:t>(2) respondent has no other disciplinary matters pending; (3) respondent has no prior record of discipline; and (4) the Client Security Fund has not made payments resulting from respondent’s conduct.  Respondent did not respond to the petition for disbarment or move to set aside or vacate the default.  The case was submitted for decision on September 25, 2012.</w:t>
      </w:r>
      <w:r>
        <w:rPr>
          <w:b/>
        </w:rP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r>
        <w:tab/>
      </w:r>
    </w:p>
    <w:p>
      <w:pPr>
        <w:spacing w:line="480" w:lineRule="auto"/>
        <w:ind w:firstLine="720"/>
        <w:rPr>
          <w:b/>
        </w:rPr>
      </w:pPr>
      <w:r>
        <w:rPr>
          <w:b/>
        </w:rPr>
        <w:t>Case Number 11-O-12497 (The Truckee Fire Protection District Matter)</w:t>
      </w:r>
    </w:p>
    <w:p>
      <w:pPr>
        <w:spacing w:line="480" w:lineRule="auto"/>
        <w:ind w:firstLine="720"/>
      </w:pPr>
      <w:r>
        <w:t xml:space="preserve">Count One – respondent willfully violated rule 3-700(D)(2) of the Rules of Professional Conduct (failure to refund unearned fees) by failing to refund $7,000 in advanced unearned legal fees.  </w:t>
      </w:r>
    </w:p>
    <w:p>
      <w:pPr>
        <w:spacing w:line="480" w:lineRule="auto"/>
        <w:ind w:firstLine="720"/>
      </w:pPr>
      <w:r>
        <w:t xml:space="preserve">Count Two – respondent willfully violated rule 3-700(D)(1) of the Rules of Professional Conduct (failing to release file) by failing to promptly release his client’s file upon termination of employment and at the request of the client.  </w:t>
      </w:r>
    </w:p>
    <w:p>
      <w:pPr>
        <w:spacing w:line="480" w:lineRule="auto"/>
        <w:ind w:firstLine="720"/>
      </w:pPr>
      <w:r>
        <w:t>Count Three – respondent willfully violated Business and Professions Code section 6068, subdivision (i) (failing to cooperate in a disciplinary investigation) by failing to provide a written response to the allegations in a disciplinary investigation or otherwise cooperate in the investigation of this matter after being contacted by the State Bar.</w:t>
      </w:r>
    </w:p>
    <w:p>
      <w:pPr>
        <w:rPr>
          <w:b/>
        </w:rPr>
      </w:pPr>
      <w:r>
        <w:rPr>
          <w:b/>
        </w:rPr>
        <w:br w:type="page"/>
      </w:r>
    </w:p>
    <w:p>
      <w:pPr>
        <w:pStyle w:val="Header"/>
        <w:tabs>
          <w:tab w:val="clear" w:pos="4320"/>
          <w:tab w:val="clear" w:pos="8640"/>
        </w:tabs>
        <w:spacing w:line="480" w:lineRule="auto"/>
        <w:rPr>
          <w:b/>
        </w:rPr>
      </w:pPr>
      <w:r>
        <w:rPr>
          <w:b/>
        </w:rPr>
        <w:t>Disbarment is Mandated under the Rules of Procedure</w:t>
      </w:r>
    </w:p>
    <w:p>
      <w:pPr>
        <w:pStyle w:val="Header"/>
        <w:tabs>
          <w:tab w:val="clear" w:pos="4320"/>
          <w:tab w:val="clear" w:pos="8640"/>
        </w:tabs>
        <w:spacing w:line="480" w:lineRule="auto"/>
      </w:pPr>
      <w:r>
        <w:rPr>
          <w:b/>
        </w:rPr>
        <w:tab/>
      </w:r>
      <w:r>
        <w:t>Based on the above, the court concludes that the requirements of rule 5.85(E) have been satisfied, and respondent’s disbarment must be recommended.  In particular:</w:t>
      </w:r>
    </w:p>
    <w:p>
      <w:pPr>
        <w:pStyle w:val="Header"/>
        <w:tabs>
          <w:tab w:val="clear" w:pos="4320"/>
          <w:tab w:val="clear" w:pos="8640"/>
        </w:tabs>
        <w:spacing w:line="480" w:lineRule="auto"/>
      </w:pPr>
      <w:r>
        <w:rPr>
          <w:b/>
        </w:rPr>
        <w:tab/>
      </w:r>
      <w:r>
        <w:t>(1) the NDC was properly served on respondent under rule 5.25;</w:t>
      </w:r>
    </w:p>
    <w:p>
      <w:pPr>
        <w:spacing w:line="480" w:lineRule="auto"/>
      </w:pPr>
      <w:r>
        <w:rPr>
          <w:b/>
        </w:rPr>
        <w:tab/>
      </w:r>
      <w:r>
        <w:t>(2) respondent had actual notice of the proceedings prior to the entry of his default, as he was properly served with a copy of the NDC, communicated with the State Bar via email, and was given repeated telephonic and email reminders to file his response to the NDC;</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Rodney Lynn Dyche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 Truckee Fire Protection District in the amount of $7,000 plus 10 percent interest per year from November 17, 2010.  Any restitution owed to the Client Security Fund is enforceable as provided in Business and Professions Code section 6140.5, subdivisions (c) and (d).</w:t>
      </w:r>
    </w:p>
    <w:p>
      <w:pPr>
        <w:rPr>
          <w:b/>
        </w:rPr>
      </w:pPr>
      <w:r>
        <w:rPr>
          <w:b/>
        </w:rPr>
        <w:br w:type="page"/>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Rodney Lynn Dyche, State Bar number 246847, be involuntarily enrolled 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December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Respondent’s membership records address did not contain a telephone number.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y5nPcxZLHwP7vlczecuqDuNcTRY=" w:salt="HbfBt8k6WKKQnd8Bn8VUeg=="/>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7931</Characters>
  <Application>Microsoft Office Word</Application>
  <DocSecurity>0</DocSecurity>
  <Lines>161</Lines>
  <Paragraphs>72</Paragraphs>
  <ScaleCrop>false</ScaleCrop>
  <Manager/>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2012-12-11T23:02:00Z</dcterms:created>
  <dcterms:modified xsi:type="dcterms:W3CDTF">2012-12-11T23:02:00Z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