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JULY 10, 2012</w:t>
      </w:r>
    </w:p>
    <w:p/>
    <w:p/>
    <w:p/>
    <w:p/>
    <w:p/>
    <w:p>
      <w:pPr>
        <w:pStyle w:val="Heading1"/>
      </w:pPr>
      <w:r>
        <w:t>STATE BAR COURT OF CALIFORNIA</w:t>
      </w:r>
    </w:p>
    <w:p>
      <w:pPr>
        <w:spacing w:line="480" w:lineRule="auto"/>
        <w:jc w:val="center"/>
        <w:rPr>
          <w:b/>
          <w:bCs/>
        </w:rPr>
      </w:pPr>
      <w:r>
        <w:rPr>
          <w:b/>
          <w:bCs/>
        </w:rPr>
        <w:t xml:space="preserve">HEARING DEPARTMENT – </w:t>
      </w:r>
      <w:r>
        <w:rPr>
          <w:rFonts w:eastAsiaTheme="minorEastAsia"/>
          <w:b/>
          <w:bCs/>
        </w:rPr>
        <w:t>SAN FRANCISCO</w:t>
      </w:r>
      <w:r>
        <w:rPr>
          <w:b/>
          <w:bCs/>
        </w:rPr>
        <w:t xml:space="preserve">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GREGORY MICHAEL CZARKOWSKI,</w:t>
            </w:r>
          </w:p>
          <w:p>
            <w:pPr>
              <w:rPr>
                <w:b/>
                <w:bCs/>
              </w:rPr>
            </w:pPr>
          </w:p>
          <w:p>
            <w:pPr>
              <w:rPr>
                <w:b/>
                <w:bCs/>
              </w:rPr>
            </w:pPr>
            <w:r>
              <w:rPr>
                <w:b/>
                <w:bCs/>
              </w:rPr>
              <w:t>Member No. 213070,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 xml:space="preserve">11-O-12996-PEM </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Gregory Michael Czarkowski</w:t>
      </w:r>
      <w:r>
        <w:t xml:space="preserve"> (respondent) was charged with six counts of violations of the Rules of Professional Conduct and the Business and Professions Code.</w:t>
      </w:r>
      <w:r>
        <w:rPr>
          <w:rStyle w:val="FootnoteReference"/>
        </w:rPr>
        <w:footnoteReference w:id="1"/>
      </w:r>
      <w:r>
        <w:t xml:space="preserve">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June 4, 2001, and has been a member since then.</w:t>
      </w:r>
    </w:p>
    <w:p>
      <w:pPr>
        <w:spacing w:line="480" w:lineRule="auto"/>
        <w:rPr>
          <w:b/>
        </w:rPr>
      </w:pPr>
      <w:r>
        <w:rPr>
          <w:b/>
        </w:rPr>
        <w:t>Procedural Requirements Have Been Satisfied</w:t>
      </w:r>
    </w:p>
    <w:p>
      <w:pPr>
        <w:spacing w:line="480" w:lineRule="auto"/>
      </w:pPr>
      <w:r>
        <w:tab/>
        <w:t>On September 6, 2011, the State Bar filed and properly served the NDC on respondent by certified mail, return receipt requested, at his membership records address.  The NDC notified respondent that his failure to participate in the proceeding would result in a disbarment recommendation.  (Rule 5.41.)  The certified mail return receipt was signed “</w:t>
      </w:r>
      <w:r>
        <w:rPr>
          <w:bCs/>
        </w:rPr>
        <w:t>Czarkowski</w:t>
      </w:r>
      <w:r>
        <w:t>.”</w:t>
      </w:r>
    </w:p>
    <w:p>
      <w:pPr>
        <w:spacing w:line="480" w:lineRule="auto"/>
      </w:pPr>
      <w:r>
        <w:tab/>
        <w:t xml:space="preserve">The State Bar also attempted to contact respondent at his official membership records telephone number and at another telephone number found through a directory listing.  The State Bar left messages on both of the numbers.  The State Bar attempted to reach respondent at an email address found by a State Bar investigator.  </w:t>
      </w:r>
    </w:p>
    <w:p>
      <w:pPr>
        <w:spacing w:line="480" w:lineRule="auto"/>
      </w:pPr>
      <w:r>
        <w:tab/>
        <w:t xml:space="preserve">Respondent failed to file a response to the NDC.  On October 6, 2011,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w:t>
      </w:r>
      <w:r>
        <w:lastRenderedPageBreak/>
        <w:t>set aside his default, the court would recommend his disbarment.  Respondent did not file a response to the motion, and his default was entered on October 24,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tab/>
        <w:t xml:space="preserve">Respondent did not seek to have his default set aside or vacated.  (Rule 5.83(C)(1) [attorney has 180 days to file motion to set aside default].)  On March 16, 2012, respondent telephoned the State Bar and left a voice mail message, requesting a response by phone or email.  On the same day, the State Bar sent a reply to respondent by email, forwarding the State Bar’s earlier email to respondent and informing him of the State Bar’s intent to file a petition for disbarment.  The email was not returned as undeliverable. </w:t>
      </w:r>
    </w:p>
    <w:p>
      <w:pPr>
        <w:spacing w:line="480" w:lineRule="auto"/>
      </w:pPr>
      <w:r>
        <w:t xml:space="preserve"> </w:t>
      </w:r>
      <w:r>
        <w:tab/>
        <w:t xml:space="preserve">On April 24, 2012, the State Bar properly filed and served the petition for disbarment on respondent at his official membership records address.  As required by rule 5.85(A), the State Bar reported in the petition that:  (1) the State Bar has had contact with respondent since the default was entered; on March 16, 2012, respondent left a voice mail message with the State Bar and the State Bar immediately replied by email; (2) respondent has no disciplinary matters pending; (3) respondent has no record of prior discipline; and (4) the Client Security Fund (CSF) has not paid any claims as a result of respondent's misconduct; but, there is one CSF claim pending related to this matter.  Respondent did not respond to the petition for disbarment or move to set aside or vacate the default.  The case was submitted for decision on May 22, 2012.  </w:t>
      </w:r>
      <w:r>
        <w:tab/>
      </w:r>
    </w:p>
    <w:p>
      <w:pPr>
        <w:spacing w:line="480" w:lineRule="auto"/>
      </w:pPr>
    </w:p>
    <w:p>
      <w:pPr>
        <w:spacing w:line="480" w:lineRule="auto"/>
      </w:pPr>
    </w:p>
    <w:p>
      <w:pPr>
        <w:spacing w:line="480" w:lineRule="auto"/>
      </w:pPr>
    </w:p>
    <w:p>
      <w:pPr>
        <w:spacing w:line="480" w:lineRule="auto"/>
        <w:rPr>
          <w:b/>
        </w:rPr>
      </w:pPr>
      <w:r>
        <w:rPr>
          <w:b/>
        </w:rPr>
        <w:t>The Admitted Factual Allegations Warrant the Imposition of Discipline</w:t>
      </w:r>
    </w:p>
    <w:p>
      <w:pPr>
        <w:spacing w:line="480" w:lineRule="auto"/>
      </w:pPr>
      <w:r>
        <w:tab/>
        <w:t>Upon entry of respondent’s default, the factual allegations in the NDC are deemed admitted and no further proof is required to establish the truth of such facts.</w:t>
      </w:r>
      <w:r>
        <w:rPr>
          <w:rStyle w:val="FootnoteReference"/>
        </w:rPr>
        <w:footnoteReference w:id="4"/>
      </w:r>
      <w:r>
        <w:t xml:space="preserve">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pPr>
      <w:r>
        <w:tab/>
      </w:r>
      <w:r>
        <w:rPr>
          <w:b/>
        </w:rPr>
        <w:t xml:space="preserve">Case Number </w:t>
      </w:r>
      <w:r>
        <w:rPr>
          <w:b/>
          <w:bCs/>
        </w:rPr>
        <w:t>11-O-12996</w:t>
      </w:r>
      <w:r>
        <w:rPr>
          <w:b/>
        </w:rPr>
        <w:t xml:space="preserve"> (The Rodriguez Matter)</w:t>
      </w:r>
    </w:p>
    <w:p>
      <w:pPr>
        <w:spacing w:line="480" w:lineRule="auto"/>
      </w:pPr>
      <w:r>
        <w:tab/>
        <w:t>Count One – respondent willfully violated rule 3-110(A) of the Rules of Professional Conduct (failure to perform legal services with competence) by failing to appear in court on behalf of his client in two traffic cases and by failing to perform any legal services for his client.</w:t>
      </w:r>
      <w:r>
        <w:tab/>
        <w:t xml:space="preserve">Count Two – respondent willfully violated rule 3-700(A)(2) of the Rules of Professional Conduct (improper withdrawal from employment) by failing to inform his client of his withdrawal from employment and by failing to take reasonable steps to avoid reasonably foreseeable prejudice to the rights of his client. </w:t>
      </w:r>
    </w:p>
    <w:p>
      <w:pPr>
        <w:spacing w:line="480" w:lineRule="auto"/>
      </w:pPr>
      <w:r>
        <w:tab/>
        <w:t xml:space="preserve">Count Three – respondent willfully violated section 6106 (moral turpitude) by misrepresenting to his client:  (1) that the notices of failure to appear in court had been resolved and that the Department of Motor Vehicles had been notified; and (2) that he had appeared in court and had transferred the cases to another attorney to handle.  </w:t>
      </w:r>
    </w:p>
    <w:p>
      <w:pPr>
        <w:spacing w:line="480" w:lineRule="auto"/>
      </w:pPr>
      <w:r>
        <w:tab/>
        <w:t xml:space="preserve">Count Four – respondent willfully violated section 6068, subdivision (m) (failure to respond to reasonable client status inquiries and to inform client of significant development), by failing to return the client’s phone messages and by failing to inform the client that the client’s  driving license was suspended.   </w:t>
      </w:r>
    </w:p>
    <w:p>
      <w:pPr>
        <w:spacing w:line="480" w:lineRule="auto"/>
      </w:pPr>
      <w:r>
        <w:tab/>
        <w:t xml:space="preserve">Count Five – respondent willfully violated rule 3-700(D)(2) of the Rules of Professional Conduct (failure to return unearned fees) by failing to return any portion of the $1,451 unearned attorney fees to his client.  </w:t>
      </w:r>
    </w:p>
    <w:p>
      <w:pPr>
        <w:spacing w:line="480" w:lineRule="auto"/>
      </w:pPr>
      <w:r>
        <w:tab/>
        <w:t xml:space="preserve">Count Six – respondent willfully violated section 6068, subdivision (i) (failure to cooperate/participate in a disciplinary investigation) by failing to respond to the State Bar letters and to participate in the State Bar investigation. </w:t>
      </w: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 xml:space="preserve">(2) reasonable diligence was used to notify respondent of the proceedings prior to the entry of his default, as the NDC was served on respondent at his membership records address; and the State Bar attempted to reach respondent by telephone at two telephone numbers and by email;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As set forth in the Rules of Procedure of the State Bar, the court must recommend his disbarment.   </w:t>
      </w:r>
    </w:p>
    <w:p>
      <w:pPr>
        <w:spacing w:line="480" w:lineRule="auto"/>
      </w:pP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Cs/>
        </w:rPr>
        <w:t>Gregory Michael Czarkowski</w:t>
      </w:r>
      <w:r>
        <w:t xml:space="preserve"> 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the</w:t>
      </w:r>
    </w:p>
    <w:p>
      <w:r>
        <w:t>following payee:</w:t>
      </w:r>
    </w:p>
    <w:p/>
    <w:p>
      <w:r>
        <w:rPr>
          <w:sz w:val="26"/>
          <w:szCs w:val="36"/>
        </w:rPr>
        <w:tab/>
      </w:r>
      <w:r>
        <w:t xml:space="preserve">(1)  Timotie Rodriguez in the amount of $1,451 plus 10 percent interest per </w:t>
      </w:r>
      <w:r>
        <w:tab/>
      </w:r>
      <w:r>
        <w:tab/>
        <w:t xml:space="preserve">       </w:t>
      </w:r>
    </w:p>
    <w:p/>
    <w:p>
      <w:r>
        <w:tab/>
        <w:t xml:space="preserve">       year from April 8, 2010.</w:t>
      </w:r>
    </w:p>
    <w:p/>
    <w:p>
      <w:r>
        <w:tab/>
        <w:t xml:space="preserve">Any restitution owed to the Client Security Fund is enforceable as provided in </w:t>
      </w:r>
    </w:p>
    <w:p/>
    <w:p>
      <w:pPr>
        <w:spacing w:line="480" w:lineRule="auto"/>
      </w:pPr>
      <w:r>
        <w:t>Business and Professions Code section 6140.5, subdivisions (c) and (d).</w:t>
      </w:r>
    </w:p>
    <w:p>
      <w:pPr>
        <w:spacing w:line="480" w:lineRule="auto"/>
        <w:rPr>
          <w:b/>
        </w:rPr>
      </w:pPr>
      <w:r>
        <w:rPr>
          <w:b/>
        </w:rPr>
        <w:t>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w:t>
      </w:r>
      <w:r>
        <w:rPr>
          <w:bCs/>
        </w:rPr>
        <w:t>Gregory Michael Czarkowski</w:t>
      </w:r>
      <w:r>
        <w:t xml:space="preserve">, State Bar number </w:t>
      </w:r>
      <w:r>
        <w:rPr>
          <w:bCs/>
        </w:rPr>
        <w:t>213070</w:t>
      </w:r>
      <w:r>
        <w:t>, be involuntarily enrolled as an inactive member of the State Bar of California, effective three calendar days after the service of this decision and order.  (Rule 5.111(D).)</w:t>
      </w:r>
    </w:p>
    <w:p>
      <w:pPr>
        <w:spacing w:line="480" w:lineRule="auto"/>
      </w:pPr>
    </w:p>
    <w:p>
      <w:pPr>
        <w:spacing w:line="480" w:lineRule="auto"/>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July _____, 2012</w:t>
            </w:r>
          </w:p>
        </w:tc>
        <w:tc>
          <w:tcPr>
            <w:tcW w:w="4565" w:type="dxa"/>
            <w:tcBorders>
              <w:top w:val="single" w:sz="4" w:space="0" w:color="auto"/>
              <w:bottom w:val="nil"/>
              <w:right w:val="nil"/>
            </w:tcBorders>
          </w:tcPr>
          <w:p>
            <w:r>
              <w:t xml:space="preserve">PAT McELROY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On page 5 of the petition for disbarment, the State Bar stated that respondent was culpable of certain violations that were not alleged in the NDC.  The errors are inconsequential.  The culpability findings must be based on the violations as charged in the NDC.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DFD"/>
    <w:multiLevelType w:val="hybridMultilevel"/>
    <w:tmpl w:val="8D52F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1tq4JMELWiwb/GJD2Qiy8qF1B8c=" w:salt="oyYB9C8cF/NLN/MdyzZaGg=="/>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8074</Characters>
  <Application>Microsoft Office Word</Application>
  <DocSecurity>0</DocSecurity>
  <Lines>175</Lines>
  <Paragraphs>74</Paragraphs>
  <ScaleCrop>false</ScaleCrop>
  <Manager/>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2012-07-12T23:34:00Z</dcterms:created>
  <dcterms:modified xsi:type="dcterms:W3CDTF">2012-07-12T23:34:00Z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