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JANUARY 24,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STEVEN HOWARD HERTZ,</w:t>
            </w:r>
          </w:p>
          <w:p>
            <w:pPr>
              <w:rPr>
                <w:b/>
                <w:bCs/>
              </w:rPr>
            </w:pPr>
          </w:p>
          <w:p>
            <w:pPr>
              <w:rPr>
                <w:b/>
                <w:bCs/>
              </w:rPr>
            </w:pPr>
            <w:r>
              <w:rPr>
                <w:b/>
                <w:bCs/>
              </w:rPr>
              <w:t>Member No.  153971,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11-O-15030 (11-O-16191)-RAP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rPr>
          <w:b/>
        </w:rPr>
        <w:tab/>
      </w:r>
      <w:r>
        <w:t>Respondent Steven Howard Hertz (respondent) was charged with 10 counts of violations of the Rules of Professional Conduct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August 18, 1991, and has been a member since then.</w:t>
      </w:r>
    </w:p>
    <w:p>
      <w:pPr>
        <w:spacing w:line="480" w:lineRule="auto"/>
        <w:rPr>
          <w:b/>
        </w:rPr>
      </w:pPr>
      <w:r>
        <w:rPr>
          <w:b/>
        </w:rPr>
        <w:t>Procedural Requirements Have Been Satisfied</w:t>
      </w:r>
    </w:p>
    <w:p>
      <w:pPr>
        <w:spacing w:line="480" w:lineRule="auto"/>
      </w:pPr>
      <w:r>
        <w:rPr>
          <w:b/>
        </w:rPr>
        <w:tab/>
      </w:r>
      <w:r>
        <w:t>On February 27, 2012, the State Bar filed and properly served the NDC on respondent by certified mail, return receipt requested, at his membership records address.</w:t>
      </w:r>
      <w:r>
        <w:rPr>
          <w:rStyle w:val="FootnoteReference"/>
        </w:rPr>
        <w:footnoteReference w:id="4"/>
      </w:r>
      <w:r>
        <w:t xml:space="preserve">  A return receipt was not received by the State Bar.</w:t>
      </w:r>
      <w:r>
        <w:rPr>
          <w:b/>
        </w:rPr>
        <w:t xml:space="preserve">  </w:t>
      </w:r>
      <w:r>
        <w:t xml:space="preserve">The NDC notified respondent that his failure to participate in the proceeding would result in a disbarment recommendation.  (Rule 5.41.)  </w:t>
      </w:r>
    </w:p>
    <w:p>
      <w:pPr>
        <w:spacing w:line="480" w:lineRule="auto"/>
      </w:pPr>
      <w:r>
        <w:rPr>
          <w:b/>
        </w:rPr>
        <w:tab/>
      </w:r>
      <w:r>
        <w:t xml:space="preserve">Thereafter, the State Bar:  (1) sent a copy of the NDC to respondent by regular, first-class mail to respondent’s membership records address and to an address in Laguna Niguel, California contained in an internet search for respondent; (2) contacted respondent’s assigned probation deputy; (3) attempted to reach respondent by telephone at his official membership records telephone number; and (4) telephoned directory assistance for the area which includes respondent’s official membership records address. </w:t>
      </w:r>
    </w:p>
    <w:p>
      <w:pPr>
        <w:spacing w:line="480" w:lineRule="auto"/>
      </w:pPr>
      <w:r>
        <w:lastRenderedPageBreak/>
        <w:tab/>
        <w:t xml:space="preserve">On March 12, 2012, respondent left a voicemail for Deputy Trial Counsel Jessica A. Lienau (DTC Lienau) asking whether he could resign.  That same day, DTC Lienau called respondent back and left a voicemail message stating that respondent needed to call her back to discuss this matter.  Respondent did not call back DTC Lienau.      </w:t>
      </w:r>
    </w:p>
    <w:p>
      <w:pPr>
        <w:spacing w:line="480" w:lineRule="auto"/>
        <w:ind w:firstLine="720"/>
      </w:pPr>
      <w:r>
        <w:t>Respondent failed to file a response to the NDC.  On March 27, 2012, the State Bar properly filed and served on respondent at his membership records address,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April 13, 2012.  The order entering the default was served on respondent at his membership records address by certified mail, return receipt requested.</w:t>
      </w:r>
      <w:r>
        <w:rPr>
          <w:rStyle w:val="FootnoteReference"/>
        </w:rPr>
        <w:footnoteReference w:id="5"/>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October 18, 2012, the State Bar filed the petition for disbarment.  As required by rule 5.85(A), the State Bar reported in the petition that:  (1) respondent has not contacted the State Bar since the default was entered on April 13, 2012; (2) there are other disciplinary matters pending against respondent (there are two pending investigative matters); (3) respondent has a prior record of discipline; and (4) the Client Security Fund has not made payments resulting from respondent’s conduct as alleged in the NDC.  Respondent did not respond to the petition for disbarment or move to set aside or vacate the default.  The case was submitted for decision on November 15, 2012.  </w:t>
      </w:r>
    </w:p>
    <w:p>
      <w:pPr>
        <w:spacing w:line="480" w:lineRule="auto"/>
      </w:pPr>
      <w:r>
        <w:rPr>
          <w:b/>
        </w:rPr>
        <w:tab/>
      </w:r>
      <w:r>
        <w:t>Respondent has a record of three prior impositions of discipline.</w:t>
      </w:r>
      <w:r>
        <w:rPr>
          <w:rStyle w:val="FootnoteReference"/>
        </w:rPr>
        <w:footnoteReference w:id="6"/>
      </w:r>
      <w:r>
        <w:rPr>
          <w:b/>
        </w:rPr>
        <w:t xml:space="preserve">  </w:t>
      </w:r>
      <w:r>
        <w:t>Pursuant to a Supreme Court order filed on March 21, 2001, respondent was suspended for one year, the execution of which was stayed, and respondent was placed on probation for three years subject to certain conditions including restitution.  Respondent stipulated that he willfully violated rules</w:t>
      </w:r>
    </w:p>
    <w:p>
      <w:pPr>
        <w:spacing w:line="480" w:lineRule="auto"/>
        <w:rPr>
          <w:b/>
        </w:rPr>
      </w:pPr>
      <w:r>
        <w:t>4-100(B)(3), 3-110(A), and 4-100(A) of the Rules of Professional Conduct.</w:t>
      </w:r>
      <w:r>
        <w:rPr>
          <w:b/>
        </w:rPr>
        <w:t xml:space="preserve">  </w:t>
      </w:r>
    </w:p>
    <w:p>
      <w:pPr>
        <w:spacing w:line="480" w:lineRule="auto"/>
      </w:pPr>
      <w:r>
        <w:rPr>
          <w:b/>
        </w:rPr>
        <w:tab/>
      </w:r>
      <w:r>
        <w:t xml:space="preserve">Pursuant to a Supreme Court order filed on June 13, 2011, respondent was suspended for one year, the execution of which was stayed, and respondent was placed on probation for two years subject to certain conditions including that he be suspended from the practice of law for the first 30 days of probation.  Respondent stipulated in this matter that he willfully failed to pay promptly, as requested by a client, funds in his possession which the client was entitled to receive and willfully failed to render appropriate accounts to a client regarding funds coming into respondent’s possession. </w:t>
      </w:r>
    </w:p>
    <w:p>
      <w:pPr>
        <w:spacing w:line="480" w:lineRule="auto"/>
      </w:pPr>
      <w:r>
        <w:tab/>
        <w:t xml:space="preserve">Pursuant to a Supreme Court order filed on May 23, 2012, respondent’s probation was revoked, and he was suspended from the practice of law for a minimum of one year and until he provides to the Office of Probation proof that he has complied with a fee arbitration condition.    Respondent did not participate in this matter.  Respondent was found culpable of failing to comply with certain probation conditions imposed pursuant to the Supreme Court’s June 13, 2011 disciplinary order.     </w:t>
      </w:r>
    </w:p>
    <w:p>
      <w:pPr>
        <w:rPr>
          <w:b/>
        </w:rPr>
      </w:pPr>
      <w:r>
        <w:rPr>
          <w:b/>
        </w:rPr>
        <w:t>/ / /</w:t>
      </w:r>
    </w:p>
    <w:p>
      <w:pPr>
        <w:rPr>
          <w:b/>
        </w:rPr>
      </w:pPr>
    </w:p>
    <w:p>
      <w:pPr>
        <w:rPr>
          <w:b/>
        </w:rPr>
      </w:pPr>
      <w:r>
        <w:rPr>
          <w:b/>
        </w:rPr>
        <w:t>/ / /</w:t>
      </w:r>
      <w:r>
        <w:rPr>
          <w:b/>
        </w:rPr>
        <w:br w:type="page"/>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1.</w:t>
      </w:r>
      <w:r>
        <w:rPr>
          <w:b/>
        </w:rPr>
        <w:tab/>
        <w:t>Case Number 11-O-15030 (McGraw Matter)</w:t>
      </w:r>
    </w:p>
    <w:p>
      <w:pPr>
        <w:spacing w:line="480" w:lineRule="auto"/>
      </w:pPr>
      <w:r>
        <w:tab/>
        <w:t xml:space="preserve">Count One – respondent willfully violated rule 3-110(A) of the Rules of Professional Conduct (failing to perform legal services with competence) by failing to transfer or register certain properties or perform any legal services of value on behalf of his client.  </w:t>
      </w:r>
    </w:p>
    <w:p>
      <w:pPr>
        <w:spacing w:line="480" w:lineRule="auto"/>
      </w:pPr>
      <w:r>
        <w:rPr>
          <w:b/>
        </w:rPr>
        <w:tab/>
      </w:r>
      <w:r>
        <w:t>Count Two – respondent willfully violated rule 3-700(D)(2) of the Rules of Professional Conduct (failing to promptly refund unearned fees) by failing to refund any portion of the $4,409 advanced fee paid by his client.</w:t>
      </w:r>
    </w:p>
    <w:p>
      <w:pPr>
        <w:spacing w:line="480" w:lineRule="auto"/>
      </w:pPr>
      <w:r>
        <w:rPr>
          <w:b/>
        </w:rPr>
        <w:tab/>
      </w:r>
      <w:r>
        <w:t xml:space="preserve">Count Three – respondent willfully violated rule 3-700(D)(1) of the Rules of Professional Conduct (failure to return client papers/property) by failing to return his client’s documents, including copies of his family trust and LLC documents, as requested by the client.   </w:t>
      </w:r>
    </w:p>
    <w:p>
      <w:pPr>
        <w:spacing w:line="480" w:lineRule="auto"/>
      </w:pPr>
      <w:r>
        <w:tab/>
        <w:t xml:space="preserve">Count Four – respondent willfully violated section 6068, subdivision (m) (duty to communicate) by failing to respond to his client’s numerous requests for the status of his case, including a June 6, 2011 letter, email and fax.  </w:t>
      </w:r>
    </w:p>
    <w:p>
      <w:pPr>
        <w:spacing w:line="480" w:lineRule="auto"/>
      </w:pPr>
      <w:r>
        <w:tab/>
        <w:t xml:space="preserve">Count Five – respondent willfully violated section 6068, subdivision (i) (failing to cooperate/participate in a disciplinary investigation) by failing to respond to a State Bar investigation.  </w:t>
      </w:r>
    </w:p>
    <w:p>
      <w:pPr>
        <w:rPr>
          <w:b/>
        </w:rPr>
      </w:pPr>
      <w:r>
        <w:rPr>
          <w:b/>
        </w:rPr>
        <w:t>/ / /</w:t>
      </w:r>
    </w:p>
    <w:p>
      <w:pPr>
        <w:rPr>
          <w:b/>
        </w:rPr>
      </w:pPr>
    </w:p>
    <w:p>
      <w:pPr>
        <w:rPr>
          <w:b/>
        </w:rPr>
      </w:pPr>
      <w:r>
        <w:rPr>
          <w:b/>
        </w:rPr>
        <w:t>/ / /</w:t>
      </w:r>
    </w:p>
    <w:p>
      <w:pPr>
        <w:rPr>
          <w:b/>
        </w:rPr>
      </w:pPr>
    </w:p>
    <w:p>
      <w:pPr>
        <w:spacing w:line="480" w:lineRule="auto"/>
        <w:rPr>
          <w:b/>
        </w:rPr>
      </w:pPr>
      <w:r>
        <w:rPr>
          <w:b/>
        </w:rPr>
        <w:tab/>
        <w:t>2.</w:t>
      </w:r>
      <w:r>
        <w:rPr>
          <w:b/>
        </w:rPr>
        <w:tab/>
        <w:t>Case Number 11-O-16191 (Rukas Matter)</w:t>
      </w:r>
    </w:p>
    <w:p>
      <w:pPr>
        <w:spacing w:line="480" w:lineRule="auto"/>
      </w:pPr>
      <w:r>
        <w:rPr>
          <w:b/>
        </w:rPr>
        <w:tab/>
      </w:r>
      <w:r>
        <w:t xml:space="preserve">Count Six – respondent willfully violated rule 3-110(A) of the Rules of Professional Conduct by failing to file a Chapter 7 bankruptcy on his client’s behalf.  </w:t>
      </w:r>
    </w:p>
    <w:p>
      <w:pPr>
        <w:spacing w:line="480" w:lineRule="auto"/>
      </w:pPr>
      <w:r>
        <w:tab/>
        <w:t xml:space="preserve">Count Seven – respondent willfully violated section 6068, subdivision (m) by failing to respond to his client’s telephone calls.  </w:t>
      </w:r>
    </w:p>
    <w:p>
      <w:pPr>
        <w:spacing w:line="480" w:lineRule="auto"/>
      </w:pPr>
      <w:r>
        <w:tab/>
        <w:t>Count Eight – respondent willfully violated rule 3-700(D)(2) of the Rules of Professional Conduct by failing to refund his client the unearned $1,500 of advanced attorney fees.</w:t>
      </w:r>
    </w:p>
    <w:p>
      <w:pPr>
        <w:spacing w:line="480" w:lineRule="auto"/>
      </w:pPr>
      <w:r>
        <w:tab/>
        <w:t xml:space="preserve">Count Nine – respondent willfully violated rule 4-100(B)(3) of the Rules of Professional Conduct (failing to render appropriate accounts of client funds) by failing to provide his client with an accounting of the advanced fees after respondent was terminated.  </w:t>
      </w:r>
    </w:p>
    <w:p>
      <w:pPr>
        <w:spacing w:line="480" w:lineRule="auto"/>
      </w:pPr>
      <w:r>
        <w:tab/>
        <w:t xml:space="preserve">Count Ten – respondent willfully violated section 6068, subdivision (i) by failing to provide a written response to the State Bar about his client’s complaint.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rPr>
          <w:b/>
        </w:rPr>
      </w:pPr>
      <w:r>
        <w:tab/>
        <w:t>(2) reasonable diligence was used to notify respondent of the proceedings prior to the entry of his default, as the State Bar filed and properly served the NDC on respondent by certified mail, return receipt requested, at his membership records address;</w:t>
      </w:r>
      <w:r>
        <w:rPr>
          <w:b/>
        </w:rPr>
        <w:t xml:space="preserve"> </w:t>
      </w:r>
      <w:r>
        <w:t xml:space="preserve">sent a copy of the NDC to respondent by regular, first-class mail to his membership records address and to an alternate address; contacted respondent’s assigned probation deputy and directory assistance;  and attempted to reach respondent by telephone and email.  Respondent left a voicemail for DTC Lienau asking whether he could resign; </w:t>
      </w:r>
    </w:p>
    <w:p>
      <w:pPr>
        <w:spacing w:line="480" w:lineRule="auto"/>
        <w:ind w:firstLine="720"/>
      </w:pP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rPr>
          <w:b/>
        </w:rPr>
      </w:pPr>
      <w:r>
        <w:tab/>
        <w:t xml:space="preserve">Despite adequate notice and opportunity, respondent failed to participate in this disciplinary proceeding.  As set forth in the Rules of Procedure of the State Bar, the court must recommend his disbarment. </w:t>
      </w:r>
      <w:r>
        <w:rPr>
          <w:b/>
        </w:rPr>
        <w:t xml:space="preserve">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Steven Howard Hertz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the following payees:</w:t>
      </w:r>
    </w:p>
    <w:p>
      <w:pPr>
        <w:pStyle w:val="ListParagraph"/>
        <w:numPr>
          <w:ilvl w:val="0"/>
          <w:numId w:val="2"/>
        </w:numPr>
        <w:spacing w:line="480" w:lineRule="auto"/>
      </w:pPr>
      <w:r>
        <w:t>Dennis McGraw in the amount of $4,409 plus 10 percent interest per year from July 12, 2010; and</w:t>
      </w:r>
    </w:p>
    <w:p>
      <w:pPr>
        <w:pStyle w:val="ListParagraph"/>
        <w:numPr>
          <w:ilvl w:val="0"/>
          <w:numId w:val="2"/>
        </w:numPr>
        <w:spacing w:line="480" w:lineRule="auto"/>
      </w:pPr>
      <w:r>
        <w:t>Steven Rukas in the amount of $1,500 plus 10 percent interest per year from October 11, 2010.</w:t>
      </w:r>
    </w:p>
    <w:p>
      <w:pPr>
        <w:spacing w:line="480" w:lineRule="auto"/>
      </w:pPr>
      <w:r>
        <w:tab/>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Steven Howard Hertz, State Bar number 153971, be involuntarily enrolled as 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January 23, 2013</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On February 8, 2012, the State Bar emailed respondent at his official membership records email address.  Effective February 1, 2010, all attorneys are required to maintain a current email address to facilitate communications with the State Bar.  (Cal. Rules of Court, rule 9.7(a)(2).)</w:t>
      </w:r>
    </w:p>
    <w:p>
      <w:pPr>
        <w:pStyle w:val="FootnoteText"/>
      </w:pPr>
    </w:p>
  </w:footnote>
  <w:footnote w:id="5">
    <w:p>
      <w:pPr>
        <w:pStyle w:val="FootnoteText"/>
      </w:pPr>
      <w:r>
        <w:rPr>
          <w:rStyle w:val="FootnoteReference"/>
        </w:rPr>
        <w:footnoteRef/>
      </w:r>
      <w:r>
        <w:t xml:space="preserve"> The order was returned to the State Bar Court unclaimed.   </w:t>
      </w:r>
    </w:p>
  </w:footnote>
  <w:footnote w:id="6">
    <w:p>
      <w:pPr>
        <w:pStyle w:val="FootnoteText"/>
      </w:pPr>
      <w:r>
        <w:rPr>
          <w:rStyle w:val="FootnoteReference"/>
        </w:rPr>
        <w:footnoteRef/>
      </w:r>
      <w:r>
        <w:t xml:space="preserve"> The court admits into evidence the certified copy of respondent’s prior record of discipline that is attached as exhibits 1-3 to the State Bar’s October 18, 2012 petition for disbarment after default.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C36"/>
    <w:multiLevelType w:val="hybridMultilevel"/>
    <w:tmpl w:val="2C7E40C2"/>
    <w:lvl w:ilvl="0" w:tplc="356E0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215250"/>
    <w:multiLevelType w:val="hybridMultilevel"/>
    <w:tmpl w:val="819A767A"/>
    <w:lvl w:ilvl="0" w:tplc="09960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nJvKYlY/UpxV++CK5ez7d1iYiM=" w:salt="vTU2IfyJ+hCQenxIGqJNxg=="/>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1900</Words>
  <Characters>10090</Characters>
  <Application>Microsoft Office Word</Application>
  <DocSecurity>0</DocSecurity>
  <Lines>201</Lines>
  <Paragraphs>88</Paragraphs>
  <ScaleCrop>false</ScaleCrop>
  <Manager/>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2013-01-25T21:53:00Z</dcterms:created>
  <dcterms:modified xsi:type="dcterms:W3CDTF">2013-01-25T21:53:00Z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