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right"/>
        <w:rPr>
          <w:b/>
          <w:sz w:val="36"/>
        </w:rPr>
      </w:pPr>
      <w:r>
        <w:rPr>
          <w:b/>
        </w:rPr>
        <w:t>FILED AUGUST 13, 2012</w:t>
      </w: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 xml:space="preserve">HEARING DEPARTMENT – SAN FRANCISCO </w:t>
      </w:r>
    </w:p>
    <w:p>
      <w:pPr>
        <w:spacing w:line="480" w:lineRule="auto"/>
        <w:contextualSpacing/>
        <w:jc w:val="center"/>
        <w:rPr>
          <w:b/>
          <w:bCs/>
        </w:rPr>
      </w:pPr>
    </w:p>
    <w:p>
      <w:pPr>
        <w:spacing w:line="480" w:lineRule="auto"/>
        <w:contextualSpacing/>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contextualSpacing/>
            </w:pPr>
            <w:r>
              <w:t>In the Matter of</w:t>
            </w:r>
          </w:p>
          <w:p>
            <w:pPr>
              <w:contextualSpacing/>
              <w:rPr>
                <w:b/>
                <w:bCs/>
              </w:rPr>
            </w:pPr>
          </w:p>
          <w:p>
            <w:pPr>
              <w:contextualSpacing/>
              <w:rPr>
                <w:b/>
                <w:bCs/>
              </w:rPr>
            </w:pPr>
            <w:r>
              <w:rPr>
                <w:b/>
                <w:bCs/>
              </w:rPr>
              <w:t>LISA YVONNE GOLDSTEIN,</w:t>
            </w:r>
          </w:p>
          <w:p>
            <w:pPr>
              <w:contextualSpacing/>
              <w:rPr>
                <w:b/>
                <w:bCs/>
              </w:rPr>
            </w:pPr>
          </w:p>
          <w:p>
            <w:pPr>
              <w:contextualSpacing/>
              <w:rPr>
                <w:b/>
                <w:bCs/>
              </w:rPr>
            </w:pPr>
            <w:r>
              <w:rPr>
                <w:b/>
                <w:bCs/>
              </w:rPr>
              <w:t>Member No.  220669,</w:t>
            </w:r>
          </w:p>
          <w:p>
            <w:pPr>
              <w:contextualSpacing/>
              <w:rPr>
                <w:b/>
                <w:bCs/>
              </w:rPr>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097" w:type="dxa"/>
            <w:tcBorders>
              <w:bottom w:val="nil"/>
            </w:tcBorders>
          </w:tcPr>
          <w:p>
            <w:pPr>
              <w:contextualSpacing/>
            </w:pPr>
            <w:r>
              <w:t>Case No.:</w:t>
            </w:r>
          </w:p>
        </w:tc>
        <w:tc>
          <w:tcPr>
            <w:tcW w:w="3468" w:type="dxa"/>
          </w:tcPr>
          <w:p>
            <w:pPr>
              <w:contextualSpacing/>
              <w:rPr>
                <w:b/>
                <w:bCs/>
              </w:rPr>
            </w:pPr>
            <w:r>
              <w:rPr>
                <w:b/>
                <w:bCs/>
              </w:rPr>
              <w:t>11-O-15368-LMA</w:t>
            </w:r>
          </w:p>
        </w:tc>
      </w:tr>
      <w:tr>
        <w:trPr>
          <w:cantSplit/>
          <w:trHeight w:val="1480"/>
        </w:trPr>
        <w:tc>
          <w:tcPr>
            <w:tcW w:w="4378"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4565" w:type="dxa"/>
            <w:gridSpan w:val="2"/>
            <w:tcBorders>
              <w:bottom w:val="nil"/>
            </w:tcBorders>
          </w:tcPr>
          <w:p>
            <w:pPr>
              <w:contextualSpacing/>
              <w:rPr>
                <w:b/>
                <w:bCs/>
              </w:rPr>
            </w:pPr>
            <w:r>
              <w:rPr>
                <w:b/>
                <w:bCs/>
              </w:rPr>
              <w:t xml:space="preserve">DECISION AND ORDER OF INVOLUNTARY INACTIVE ENROLLMENT </w:t>
            </w:r>
          </w:p>
        </w:tc>
      </w:tr>
    </w:tbl>
    <w:p>
      <w:pPr>
        <w:contextualSpacing/>
      </w:pPr>
    </w:p>
    <w:p>
      <w:pPr>
        <w:spacing w:line="480" w:lineRule="auto"/>
        <w:contextualSpacing/>
      </w:pPr>
      <w:r>
        <w:tab/>
        <w:t>Respondent Lisa Yvonne Goldstein (respondent) was charged with several violations of the Business and Professions Code and the Rules of Professional Conduct in connection with a single client matter.  She failed to file a response to the amended notice of disciplinary charges (amended NDC), and her default was entered.  The Office of the Chief Trial Counsel (State Bar) filed a petition for disbarment under rule 5.85 of the Rules of Procedure of the State Bar.</w:t>
      </w:r>
      <w:r>
        <w:rPr>
          <w:rStyle w:val="FootnoteReference"/>
        </w:rPr>
        <w:footnoteReference w:id="1"/>
      </w:r>
    </w:p>
    <w:p>
      <w:pPr>
        <w:spacing w:line="480" w:lineRule="auto"/>
        <w:contextualSpacing/>
      </w:pPr>
      <w:r>
        <w:tab/>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contextualSpacing/>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spacing w:line="480" w:lineRule="auto"/>
        <w:contextualSpacing/>
      </w:pPr>
      <w:r>
        <w:rPr>
          <w:b/>
        </w:rPr>
        <w:tab/>
      </w:r>
      <w:r>
        <w:t>Respondent was admitted to practice law in this state on October 4, 2002, and has been a member since then.</w:t>
      </w:r>
    </w:p>
    <w:p>
      <w:pPr>
        <w:spacing w:line="480" w:lineRule="auto"/>
        <w:contextualSpacing/>
      </w:pPr>
      <w:r>
        <w:rPr>
          <w:b/>
        </w:rPr>
        <w:t>Procedural Requirements Have Been Satisfied</w:t>
      </w:r>
    </w:p>
    <w:p>
      <w:pPr>
        <w:spacing w:line="480" w:lineRule="auto"/>
        <w:contextualSpacing/>
      </w:pPr>
      <w:r>
        <w:tab/>
        <w:t>On October 19, 2011, Deputy Trial Counsel Maria J. Oropeza (DTC Oropeza) telephoned respondent at her membership records telephone number and left a message for respondent advising her of this disciplinary proceeding.  On the same day, DTC Oropeza also sent respondent an email advising respondent of this disciplinary proceeding.</w:t>
      </w:r>
      <w:r>
        <w:rPr>
          <w:vertAlign w:val="superscript"/>
        </w:rPr>
        <w:footnoteReference w:id="3"/>
      </w:r>
      <w:r>
        <w:t xml:space="preserve">  </w:t>
      </w:r>
    </w:p>
    <w:p>
      <w:pPr>
        <w:spacing w:line="480" w:lineRule="auto"/>
        <w:contextualSpacing/>
      </w:pPr>
      <w:r>
        <w:tab/>
        <w:t>On October 21, 2011, the State Bar filed and properly served a copy of the amended NDC on respondent by certified mail, return receipt requested, both at respondent’s membership records address and at an address on Buren Place, Castro Valley, California, which a State Bar investigator obtained as an alternative address for respondent after conducting an Internet search.  The amended NDC notified respondent that her failure to participate in the proceeding would result in a disbarment recommendation.  (Rule 5.41.)  The United States Postal Service returned both service copies of the amended NDC to the State Bar.</w:t>
      </w:r>
    </w:p>
    <w:p>
      <w:pPr>
        <w:spacing w:line="480" w:lineRule="auto"/>
        <w:contextualSpacing/>
      </w:pPr>
      <w:r>
        <w:tab/>
        <w:t xml:space="preserve">On November 22, 2011, DTC Oropeza telephoned respondent’s membership records telephone number and left a message advising respondent of the status of her discipline matter.  Respondent thereafter failed to file a response to the amended NDC.  On November 22, 2011, the State Bar filed and properly served a motion for entry of respondent’s default.  In addition to serving a copy of the motion for entry of default on respondent at her membership records </w:t>
      </w:r>
      <w:r>
        <w:lastRenderedPageBreak/>
        <w:t xml:space="preserve">address, the State Bar also served a copy of the motion on respondent at the Buren Place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w:t>
      </w:r>
      <w:r>
        <w:tab/>
      </w:r>
    </w:p>
    <w:p>
      <w:pPr>
        <w:spacing w:line="480" w:lineRule="auto"/>
        <w:contextualSpacing/>
      </w:pPr>
      <w:r>
        <w:tab/>
        <w:t>Respondent did not file a response to the motion, and her default was entered on December 8, 2011.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w:t>
      </w:r>
      <w:r>
        <w:rPr>
          <w:rStyle w:val="FootnoteReference"/>
        </w:rPr>
        <w:footnoteReference w:id="4"/>
      </w:r>
      <w:r>
        <w:t xml:space="preserve"> effective three days after service of the order, and she has remained inactively enrolled since that time.</w:t>
      </w:r>
    </w:p>
    <w:p>
      <w:pPr>
        <w:spacing w:line="480" w:lineRule="auto"/>
        <w:contextualSpacing/>
      </w:pPr>
      <w:r>
        <w:rPr>
          <w:b/>
        </w:rPr>
        <w:tab/>
      </w:r>
      <w:r>
        <w:t>Respondent did not seek to have her default set aside or vacated.  (Rule 5.83(C)(1) [attorney has 180 days to file motion to set aside default].)  On June 22, 2012, the State Bar filed the petition for disbarment.  As required by rule 5.85(A), the State Bar reported in the petition that:  (1) the State Bar has not had any contact with respondent since the default was entered; (2) there is one disciplinary investigation matter pending against respondent;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July 18, 2012.</w:t>
      </w:r>
    </w:p>
    <w:p>
      <w:pPr>
        <w:spacing w:line="480" w:lineRule="auto"/>
        <w:contextualSpacing/>
        <w:rPr>
          <w:b/>
        </w:rPr>
      </w:pPr>
      <w:r>
        <w:rPr>
          <w:b/>
        </w:rPr>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w:t>
      </w:r>
    </w:p>
    <w:p>
      <w:pPr>
        <w:spacing w:line="480" w:lineRule="auto"/>
        <w:contextualSpacing/>
        <w:rPr>
          <w:b/>
        </w:rPr>
      </w:pPr>
      <w:r>
        <w:rPr>
          <w:b/>
        </w:rPr>
        <w:tab/>
        <w:t>Case Number 11-O-15368</w:t>
      </w:r>
    </w:p>
    <w:p>
      <w:pPr>
        <w:spacing w:line="480" w:lineRule="auto"/>
        <w:contextualSpacing/>
      </w:pPr>
      <w:r>
        <w:rPr>
          <w:b/>
        </w:rPr>
        <w:tab/>
      </w:r>
      <w:r>
        <w:t>Count One – respondent willfully violated rule 3</w:t>
      </w:r>
      <w:r>
        <w:noBreakHyphen/>
        <w:t>700(A)(2) of the Rules of Professional Conduct (improper withdrawal from employment) by failing, upon termination of employment, to take reasonable steps to avoid reasonably foreseeable prejudice to her client, such as not finalizing a settlement agreement, not appearing at a status conference, and not filing a substitution of attorney.</w:t>
      </w:r>
    </w:p>
    <w:p>
      <w:pPr>
        <w:spacing w:line="480" w:lineRule="auto"/>
        <w:contextualSpacing/>
      </w:pPr>
      <w:r>
        <w:tab/>
        <w:t>Count Two – respondent willfully violated section 6068, subdivision (m) (failing to communicate) by not responding to her client’s email messages and letters and by not providing her client with any information regarding significant developments in the client’s case.</w:t>
      </w:r>
    </w:p>
    <w:p>
      <w:pPr>
        <w:spacing w:line="480" w:lineRule="auto"/>
        <w:contextualSpacing/>
      </w:pPr>
      <w:r>
        <w:tab/>
        <w:t>Count Three – respondent willfully violated Rules of Professional Conduct, rule 4</w:t>
      </w:r>
      <w:r>
        <w:noBreakHyphen/>
        <w:t>100(B)(3) (failing to render appropriate accounts of client funds) by not providing her client with an accounting of all the advanced attorney fees.</w:t>
      </w:r>
    </w:p>
    <w:p>
      <w:pPr>
        <w:spacing w:line="480" w:lineRule="auto"/>
        <w:contextualSpacing/>
      </w:pPr>
      <w:r>
        <w:tab/>
        <w:t>Count Four – respondent willfully violated section 6103 (failure to obey a court order) by failing to appear at a sanctions hearing as ordered by the superior court.</w:t>
      </w:r>
    </w:p>
    <w:p>
      <w:pPr>
        <w:spacing w:line="480" w:lineRule="auto"/>
        <w:contextualSpacing/>
      </w:pPr>
      <w:r>
        <w:tab/>
        <w:t xml:space="preserve">Count Five – respondent willfully violated section 6068, subdivision (i) (failing to cooperate/participate in a disciplinary investigation) by not responding to a State Bar letter and by not otherwise cooperating in the State Bar disciplinary investigation involving respondent.      </w:t>
      </w:r>
    </w:p>
    <w:p>
      <w:pPr>
        <w:spacing w:line="480" w:lineRule="auto"/>
        <w:contextualSpacing/>
        <w:rPr>
          <w:b/>
        </w:rPr>
      </w:pPr>
      <w:r>
        <w:rPr>
          <w:b/>
        </w:rPr>
        <w:t>Disbarment is Mandated under the Rules of Procedure</w:t>
      </w:r>
    </w:p>
    <w:p>
      <w:pPr>
        <w:spacing w:line="480" w:lineRule="auto"/>
        <w:contextualSpacing/>
      </w:pPr>
      <w:r>
        <w:rPr>
          <w:b/>
        </w:rPr>
        <w:tab/>
      </w:r>
      <w:r>
        <w:t>Based on the above, the court concludes that the requirements of rule 5.85(E) have been satisfied and that respondent’s disbarment must be recommended.  In particular:</w:t>
      </w:r>
    </w:p>
    <w:p>
      <w:pPr>
        <w:spacing w:line="480" w:lineRule="auto"/>
        <w:contextualSpacing/>
      </w:pPr>
      <w:r>
        <w:tab/>
        <w:t xml:space="preserve">(1) the amended NDC was properly served on respondent under rule 5.25; </w:t>
      </w:r>
    </w:p>
    <w:p>
      <w:pPr>
        <w:spacing w:line="480" w:lineRule="auto"/>
        <w:contextualSpacing/>
      </w:pPr>
      <w:r>
        <w:rPr>
          <w:b/>
        </w:rPr>
        <w:tab/>
      </w:r>
      <w:r>
        <w:t>(2) reasonable diligence was used notify respondent of the proceedings prior to the entry of her default, such as leaving telephone messages for respondent, sending respondent an email, conducting an Internet search, and mailing copies of the amended NDC and the motion for entry of default to respondent at both her membership records address and the Buren Place address;</w:t>
      </w:r>
    </w:p>
    <w:p>
      <w:pPr>
        <w:spacing w:line="480" w:lineRule="auto"/>
        <w:contextualSpacing/>
      </w:pPr>
      <w:r>
        <w:tab/>
        <w:t>(3) the default was properly entered under rule 5.80; and</w:t>
      </w:r>
    </w:p>
    <w:p>
      <w:pPr>
        <w:spacing w:line="480" w:lineRule="auto"/>
        <w:contextualSpacing/>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 xml:space="preserve">As set forth in the Rules of Procedure of the State Bar, the court must recommend her disbarment.     </w:t>
      </w:r>
    </w:p>
    <w:p>
      <w:pPr>
        <w:spacing w:line="480" w:lineRule="auto"/>
        <w:contextualSpacing/>
        <w:jc w:val="center"/>
        <w:rPr>
          <w:b/>
        </w:rPr>
      </w:pPr>
      <w:r>
        <w:rPr>
          <w:b/>
        </w:rPr>
        <w:t>RECOMMENDATION</w:t>
      </w:r>
    </w:p>
    <w:p>
      <w:pPr>
        <w:spacing w:line="480" w:lineRule="auto"/>
        <w:contextualSpacing/>
        <w:rPr>
          <w:b/>
        </w:rPr>
      </w:pPr>
      <w:r>
        <w:rPr>
          <w:b/>
        </w:rPr>
        <w:t>Disbarment</w:t>
      </w:r>
      <w:r>
        <w:rPr>
          <w:b/>
        </w:rPr>
        <w:tab/>
      </w:r>
    </w:p>
    <w:p>
      <w:pPr>
        <w:spacing w:line="480" w:lineRule="auto"/>
        <w:contextualSpacing/>
      </w:pPr>
      <w:r>
        <w:rPr>
          <w:b/>
        </w:rPr>
        <w:tab/>
      </w:r>
      <w:r>
        <w:t>The court recommends that respondent Lisa Yvonne Goldstein be disbarred from the practice of law in the State of California and that her name be stricken from the roll of attorneys.</w:t>
      </w:r>
    </w:p>
    <w:p>
      <w:pPr>
        <w:spacing w:line="480" w:lineRule="auto"/>
        <w:contextualSpacing/>
        <w:rPr>
          <w:b/>
        </w:rPr>
      </w:pPr>
      <w:r>
        <w:rPr>
          <w:b/>
        </w:rPr>
        <w:t>California Rules of Court, Rule 9.20</w:t>
      </w:r>
    </w:p>
    <w:p>
      <w:pPr>
        <w:spacing w:line="480" w:lineRule="auto"/>
        <w:contextualSpacing/>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rPr>
          <w:b/>
        </w:rPr>
      </w:pPr>
      <w:r>
        <w:rPr>
          <w:b/>
        </w:rPr>
        <w:t>Costs</w:t>
      </w:r>
    </w:p>
    <w:p>
      <w:pPr>
        <w:spacing w:line="480" w:lineRule="auto"/>
        <w:contextualSpacing/>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pPr>
      <w:r>
        <w:t>/ / /</w:t>
      </w:r>
    </w:p>
    <w:p>
      <w:pPr>
        <w:spacing w:line="480" w:lineRule="auto"/>
        <w:contextualSpacing/>
        <w:jc w:val="center"/>
        <w:rPr>
          <w:b/>
        </w:rPr>
      </w:pPr>
      <w:r>
        <w:rPr>
          <w:b/>
        </w:rPr>
        <w:t>ORDER OF INVOLUNTARY INACTIVE ENROLLMENT</w:t>
      </w:r>
    </w:p>
    <w:p>
      <w:pPr>
        <w:spacing w:line="480" w:lineRule="auto"/>
        <w:contextualSpacing/>
      </w:pPr>
      <w:r>
        <w:rPr>
          <w:b/>
        </w:rPr>
        <w:tab/>
      </w:r>
      <w:r>
        <w:t xml:space="preserve">In accordance with Business and Professions Code section 6007, subdivision (c)(4), the court orders that Lisa Yvonne Goldstein, State Bar Number 220669, be involuntarily enrolled </w:t>
      </w:r>
    </w:p>
    <w:p>
      <w:pPr>
        <w:spacing w:line="480" w:lineRule="auto"/>
        <w:contextualSpacing/>
      </w:pPr>
      <w:r>
        <w:t xml:space="preserve">as an inactive member of the State Bar of California, effective three calendar days after the </w:t>
      </w:r>
    </w:p>
    <w:p>
      <w:pPr>
        <w:spacing w:line="480" w:lineRule="auto"/>
        <w:contextualSpacing/>
      </w:pPr>
      <w:r>
        <w:t>service of this decision and order.  (Rule 5.111(D).)</w:t>
      </w:r>
    </w:p>
    <w:p>
      <w:pPr>
        <w:spacing w:line="480" w:lineRule="auto"/>
        <w:contextualSpacing/>
      </w:pPr>
    </w:p>
    <w:p>
      <w:pPr>
        <w:pStyle w:val="Header"/>
        <w:tabs>
          <w:tab w:val="clear" w:pos="4320"/>
          <w:tab w:val="clear" w:pos="8640"/>
        </w:tabs>
        <w:spacing w:line="480" w:lineRule="auto"/>
        <w:contextualSpacing/>
      </w:pPr>
    </w:p>
    <w:p>
      <w:pPr>
        <w:pStyle w:val="Header"/>
        <w:tabs>
          <w:tab w:val="clear" w:pos="4320"/>
          <w:tab w:val="clear" w:pos="8640"/>
        </w:tabs>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contextualSpacing/>
            </w:pPr>
            <w:r>
              <w:t>Dated:  August ___, 2012.</w:t>
            </w:r>
          </w:p>
        </w:tc>
        <w:tc>
          <w:tcPr>
            <w:tcW w:w="4565" w:type="dxa"/>
            <w:tcBorders>
              <w:top w:val="single" w:sz="4" w:space="0" w:color="auto"/>
              <w:bottom w:val="nil"/>
              <w:right w:val="nil"/>
            </w:tcBorders>
          </w:tcPr>
          <w:p>
            <w:pPr>
              <w:contextualSpacing/>
              <w:rPr>
                <w:b/>
              </w:rPr>
            </w:pPr>
            <w:r>
              <w:rPr>
                <w:b/>
              </w:rPr>
              <w:t>LUCY ARMENDARIZ</w:t>
            </w:r>
          </w:p>
        </w:tc>
      </w:tr>
      <w:tr>
        <w:tc>
          <w:tcPr>
            <w:tcW w:w="4800" w:type="dxa"/>
            <w:tcBorders>
              <w:left w:val="nil"/>
              <w:bottom w:val="nil"/>
            </w:tcBorders>
          </w:tcPr>
          <w:p>
            <w:pPr>
              <w:contextualSpacing/>
            </w:pPr>
          </w:p>
        </w:tc>
        <w:tc>
          <w:tcPr>
            <w:tcW w:w="4565" w:type="dxa"/>
            <w:tcBorders>
              <w:bottom w:val="nil"/>
              <w:right w:val="nil"/>
            </w:tcBorders>
          </w:tcPr>
          <w:p>
            <w:pPr>
              <w:contextualSpacing/>
            </w:pPr>
            <w:r>
              <w:t>Judge of the State Bar Court</w:t>
            </w:r>
          </w:p>
        </w:tc>
      </w:tr>
    </w:tbl>
    <w:p>
      <w:pPr>
        <w:contextualSpacing/>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Except where otherwise indicated, all further references to rules are to the Rules of Procedure of the State Bar.</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All further statutory references are to the Business and Professions Code.</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documentProtection w:edit="forms" w:enforcement="1" w:cryptProviderType="rsaFull" w:cryptAlgorithmClass="hash" w:cryptAlgorithmType="typeAny" w:cryptAlgorithmSid="4" w:cryptSpinCount="100000" w:hash="DnSh4B6ythNEiFIF0DmBzkMD5/E=" w:salt="krGJP42CR09sdthXrKR7kA=="/>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7541</Characters>
  <Application>Microsoft Office Word</Application>
  <DocSecurity>0</DocSecurity>
  <Lines>150</Lines>
  <Paragraphs>69</Paragraphs>
  <ScaleCrop>false</ScaleCrop>
  <Manager/>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2012-08-20T20:23:00Z</dcterms:created>
  <dcterms:modified xsi:type="dcterms:W3CDTF">2012-08-20T20:23:00Z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