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4,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JENNIFER YVONNE WILLIAMS,</w:t>
            </w:r>
          </w:p>
          <w:p>
            <w:pPr>
              <w:rPr>
                <w:b/>
                <w:bCs/>
              </w:rPr>
            </w:pPr>
          </w:p>
          <w:p>
            <w:pPr>
              <w:rPr>
                <w:b/>
                <w:bCs/>
              </w:rPr>
            </w:pPr>
            <w:r>
              <w:rPr>
                <w:b/>
                <w:bCs/>
              </w:rPr>
              <w:t>Member No.  242146,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11-O-15950 (11-O-17037;</w:t>
            </w:r>
          </w:p>
          <w:p>
            <w:pPr>
              <w:rPr>
                <w:b/>
                <w:bCs/>
              </w:rPr>
            </w:pPr>
            <w:r>
              <w:rPr>
                <w:b/>
                <w:bCs/>
              </w:rPr>
              <w:t>11-O-17299; 12-O-10091)-RAP</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Jennifer Yvonne Williams (respondent) was charged with four counts of failing to cooperate and participate in a disciplinary investigation.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t>/ / /</w:t>
      </w:r>
    </w:p>
    <w:p>
      <w:pPr>
        <w:spacing w:line="480" w:lineRule="auto"/>
      </w:pPr>
      <w:r>
        <w:t>/ / /</w:t>
      </w:r>
    </w:p>
    <w:p>
      <w:pPr>
        <w:spacing w:line="480" w:lineRule="auto"/>
      </w:pPr>
      <w:r>
        <w:t>/ / /</w:t>
      </w:r>
    </w:p>
    <w:p>
      <w:pPr>
        <w:spacing w:line="480" w:lineRule="auto"/>
      </w:pP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May 16, 2006, and has been a member since then.</w:t>
      </w:r>
    </w:p>
    <w:p>
      <w:pPr>
        <w:spacing w:line="480" w:lineRule="auto"/>
        <w:rPr>
          <w:b/>
        </w:rPr>
      </w:pPr>
      <w:r>
        <w:rPr>
          <w:b/>
        </w:rPr>
        <w:t>Procedural Requirements Have Been Satisfied</w:t>
      </w:r>
    </w:p>
    <w:p>
      <w:pPr>
        <w:spacing w:line="480" w:lineRule="auto"/>
      </w:pPr>
      <w:r>
        <w:rPr>
          <w:b/>
        </w:rPr>
        <w:tab/>
      </w:r>
      <w:r>
        <w:t>On May 29, 2012, the State Bar filed and properly served the NDC on respondent by certified mail, return receipt requested, at her membership records address.</w:t>
      </w:r>
      <w:r>
        <w:rPr>
          <w:rStyle w:val="FootnoteReference"/>
        </w:rPr>
        <w:footnoteReference w:id="3"/>
      </w:r>
      <w:r>
        <w:t xml:space="preserve">  The return card with an illegible signature was received by the State Bar on May 31, 2012.  The NDC notified respondent that her failure to participate in the proceeding would result in a disbarment recommendation.  (Rule 5.41.)  </w:t>
      </w:r>
    </w:p>
    <w:p>
      <w:pPr>
        <w:spacing w:line="480" w:lineRule="auto"/>
      </w:pPr>
      <w:r>
        <w:rPr>
          <w:b/>
        </w:rPr>
        <w:tab/>
      </w:r>
      <w:r>
        <w:t>Thereafter, reasonable diligence was used to notify respondent of this proceeding.  The State Bar (1) sent the NDC to respondent by regular, first-class mail to her membership records address; (2) sent an email to respondent at her membership records email address</w:t>
      </w:r>
      <w:r>
        <w:rPr>
          <w:rStyle w:val="FootnoteReference"/>
        </w:rPr>
        <w:footnoteReference w:id="4"/>
      </w:r>
      <w:r>
        <w:t xml:space="preserve"> and at her private email address contained in the case file; and (3) attempted to reach respondent by telephoning and leaving a voicemail message at her membership records telephone number and at a private number contained in the case file.  On July 17, 2012, State Bar Deputy Trial Counsel Kim Kasreliovich (DTC Kasreliovich) received a voicemail message from respondent in which respondent confirmed receipt of both the voicemail message that DTC Kasreliovich had left on respondent’s private number and the email that DTC Kasreliovich had sent her.  Respondent stated in her message to DTC Kasreliovich “that she had no intention of filing a response or participating in State Bar Court proceedings.”</w:t>
      </w:r>
      <w:r>
        <w:rPr>
          <w:rStyle w:val="FootnoteReference"/>
        </w:rPr>
        <w:footnoteReference w:id="5"/>
      </w:r>
      <w:r>
        <w:t xml:space="preserve">   </w:t>
      </w:r>
    </w:p>
    <w:p>
      <w:pPr>
        <w:spacing w:line="480" w:lineRule="auto"/>
        <w:ind w:firstLine="720"/>
      </w:pPr>
      <w:r>
        <w:t>Respondent failed to file a response to the NDC.  On July 23, 2012, the State Bar filed and properly served a motion for entry of default on respondent by certified mail, return receipt requested, to her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August 9, 2012.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Respondent also did not seek to have her default set aside or vacated.  (Rule 5.83(C)(1) [attorney has 180 days to file motion to set aside default].)  On February 15, 2013, the State Bar filed the petition for disbarment.  As required by rule 5.85(A), the State Bar reported in the petition that:  (1) respondent has not contacted the State Bar since the default was entered/served; (2) there are no other disciplinary matters pending against respondent; (3) respondent has a prior record of discipline;</w:t>
      </w:r>
      <w:r>
        <w:rPr>
          <w:rStyle w:val="FootnoteReference"/>
        </w:rPr>
        <w:footnoteReference w:id="6"/>
      </w:r>
      <w:r>
        <w:t xml:space="preserve"> and (4) the Client Security Fund has made payments resulting from respondent’s conduct.  Respondent did not respond to the petition for disbarment or move to set aside or vacate the default.  The case was submitted for decision on March 15, 2013. </w:t>
      </w:r>
    </w:p>
    <w:p>
      <w:pPr>
        <w:spacing w:line="480" w:lineRule="auto"/>
      </w:pPr>
      <w:r>
        <w:tab/>
        <w:t>Respondent has two prior records of discipline.  Pursuant to a Supreme Court order filed on January 5, 2012, respondent was suspended for three years, the execution of which was stayed, and she was placed on probation for three years subject to conditions including suspension for the first 60 days of probation.  Respondent stipulated in this matter that she (1) failed to perform competently (three matters); (2) failed to promptly refund any part of a fee paid in advance that had not been earned (three matters); (3) shared legal fee with a non-lawyer; and (4) failed to promptly respond to reasonable client status inquiries.</w:t>
      </w:r>
    </w:p>
    <w:p>
      <w:pPr>
        <w:spacing w:line="480" w:lineRule="auto"/>
      </w:pPr>
      <w:r>
        <w:tab/>
        <w:t xml:space="preserve">Pursuant to a Supreme Court order filed on September 18, 2012, respondent’s probation in the above matter was revoked, and respondent was suspended for a minimum of three years and until she makes specified restitution and provides proof of her rehabilitation, fitness to practice and learning and ability in the general law.  Respondent did not participate in this matter.  The court found that respondent did not comply with certain conditions of her probation in her prior disciplinary matter.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1.</w:t>
      </w:r>
      <w:r>
        <w:rPr>
          <w:b/>
        </w:rPr>
        <w:tab/>
        <w:t>Case Number 11-O-15950 (Fann Matter)</w:t>
      </w:r>
    </w:p>
    <w:p>
      <w:pPr>
        <w:spacing w:line="480" w:lineRule="auto"/>
      </w:pPr>
      <w:r>
        <w:rPr>
          <w:b/>
        </w:rPr>
        <w:tab/>
      </w:r>
      <w:r>
        <w:t xml:space="preserve">Count One – respondent willfully violated section 6068, subdivision (i) (failing to cooperate/participate in a disciplinary investigation), by not providing a written response to allegations or otherwise cooperating in the State Bar investigation of this matter.    </w:t>
      </w:r>
    </w:p>
    <w:p>
      <w:pPr>
        <w:spacing w:line="480" w:lineRule="auto"/>
        <w:rPr>
          <w:b/>
        </w:rPr>
      </w:pPr>
      <w:r>
        <w:tab/>
      </w:r>
      <w:r>
        <w:rPr>
          <w:b/>
        </w:rPr>
        <w:t>2.</w:t>
      </w:r>
      <w:r>
        <w:rPr>
          <w:b/>
        </w:rPr>
        <w:tab/>
        <w:t>Case No. 11-O-17037 (Valdez Matter)</w:t>
      </w:r>
    </w:p>
    <w:p>
      <w:pPr>
        <w:spacing w:line="480" w:lineRule="auto"/>
      </w:pPr>
      <w:r>
        <w:rPr>
          <w:b/>
        </w:rPr>
        <w:tab/>
      </w:r>
      <w:r>
        <w:t>Count Two – respondent willfully violated section 6068, subdivision (i), by not providing a timely written response to allegations in the State Bar investigation matter of this matter.</w:t>
      </w:r>
    </w:p>
    <w:p>
      <w:pPr>
        <w:spacing w:line="480" w:lineRule="auto"/>
        <w:rPr>
          <w:b/>
        </w:rPr>
      </w:pPr>
      <w:r>
        <w:rPr>
          <w:b/>
        </w:rPr>
        <w:tab/>
        <w:t>3.</w:t>
      </w:r>
      <w:r>
        <w:rPr>
          <w:b/>
        </w:rPr>
        <w:tab/>
        <w:t>Case No. 11-O-17299 (Miller Matter)</w:t>
      </w:r>
    </w:p>
    <w:p>
      <w:pPr>
        <w:spacing w:line="480" w:lineRule="auto"/>
      </w:pPr>
      <w:r>
        <w:rPr>
          <w:b/>
        </w:rPr>
        <w:tab/>
      </w:r>
      <w:r>
        <w:t>Count Three -</w:t>
      </w:r>
      <w:r>
        <w:rPr>
          <w:b/>
        </w:rPr>
        <w:t xml:space="preserve"> </w:t>
      </w:r>
      <w:r>
        <w:t xml:space="preserve">respondent willfully violated section 6068, subdivision (i), by not providing a written response to allegations or otherwise cooperating in the State Bar investigation of this matter.    </w:t>
      </w:r>
    </w:p>
    <w:p>
      <w:pPr>
        <w:spacing w:line="480" w:lineRule="auto"/>
        <w:rPr>
          <w:b/>
        </w:rPr>
      </w:pPr>
      <w:r>
        <w:rPr>
          <w:b/>
        </w:rPr>
        <w:tab/>
        <w:t>4.</w:t>
      </w:r>
      <w:r>
        <w:rPr>
          <w:b/>
        </w:rPr>
        <w:tab/>
        <w:t xml:space="preserve">Case No. 12-O-10091 (Montes Matter) </w:t>
      </w:r>
    </w:p>
    <w:p>
      <w:pPr>
        <w:spacing w:line="480" w:lineRule="auto"/>
      </w:pPr>
      <w:r>
        <w:rPr>
          <w:b/>
        </w:rPr>
        <w:tab/>
      </w:r>
      <w:r>
        <w:t>Count Four -</w:t>
      </w:r>
      <w:r>
        <w:rPr>
          <w:b/>
        </w:rPr>
        <w:t xml:space="preserve"> </w:t>
      </w:r>
      <w:r>
        <w:t xml:space="preserve">respondent willfully violated section 6068, subdivision (i), by not providing a written response to allegations or otherwise cooperating in the State Bar investigation of this matter.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rPr>
          <w:b/>
        </w:rPr>
        <w:tab/>
      </w:r>
      <w:r>
        <w:t>(2) reasonable diligence was used to notify respondent of the proceedings prior to the entry of her default, as the State Bar (1) filed and properly served the NDC on respondent by certified mail, return receipt requested, at her membership records address;</w:t>
      </w:r>
      <w:r>
        <w:rPr>
          <w:b/>
        </w:rPr>
        <w:t xml:space="preserve"> </w:t>
      </w:r>
      <w:r>
        <w:t>(2) sent the NDC to respondent by regular, first-class mail to her membership records address; (3) sent an email to respondent at her membership records email address and at her private email address; and</w:t>
      </w:r>
    </w:p>
    <w:p>
      <w:pPr>
        <w:spacing w:line="480" w:lineRule="auto"/>
        <w:rPr>
          <w:b/>
        </w:rPr>
      </w:pPr>
      <w:r>
        <w:t xml:space="preserve">(4) attempted to reach respondent by telephoning and leaving a voicemail message at her official membership records telephone number and at a private number.  The State Bar received a voicemail message from respondent in which respondent confirmed receipt of both the voicemail message left on respondent’s private number and the email sent her;  </w:t>
      </w:r>
    </w:p>
    <w:p>
      <w:pPr>
        <w:spacing w:line="480" w:lineRule="auto"/>
        <w:ind w:firstLine="720"/>
      </w:pP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rPr>
          <w:b/>
        </w:rPr>
      </w:pP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Jennifer Yvonne Williams be disbarred from the practice of law in the State of California and that her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 / /</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Jennifer Yvonne Williams, State Bar number 242146,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June 3,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Prior to this date, an early neutral evaluation conference was held in case Nos.             11-O-15950 (11-O-17037; 11-O-17299), but the parties were not able to reach a settlement.   </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The court takes judicial notice, pursuant to Evidence Code section 452, subdivision (h), of respondent’s membership records email address. </w:t>
      </w:r>
    </w:p>
  </w:footnote>
  <w:footnote w:id="5">
    <w:p>
      <w:pPr>
        <w:pStyle w:val="FootnoteText"/>
      </w:pPr>
      <w:r>
        <w:rPr>
          <w:rStyle w:val="FootnoteReference"/>
        </w:rPr>
        <w:footnoteRef/>
      </w:r>
      <w:r>
        <w:t xml:space="preserve"> See Declaration of DTC Kasreliovich attached to the State Bar’s motion for entry of respondent’s default.   </w:t>
      </w:r>
    </w:p>
  </w:footnote>
  <w:footnote w:id="6">
    <w:p>
      <w:pPr>
        <w:pStyle w:val="FootnoteText"/>
      </w:pPr>
      <w:r>
        <w:rPr>
          <w:rStyle w:val="FootnoteReference"/>
        </w:rPr>
        <w:footnoteRef/>
      </w:r>
      <w:r>
        <w:t xml:space="preserve"> In her February 15, 2013 declaration attached to the disbarment petition, DTC Kasreliovich reported that respondent has one prior record of discipline.  The court admits into evidence the certified copy of respondent’s prior record of discipline in Supreme Court matter S197330 (State Bar Court Nos. 10-O-04038 (10-O-04352; 10-O-10700)) that is attached to the State Bar’s disbarment petition.  Respondent, however, has two prior records of discipline.  The court therefore takes judicial notice, pursuant to Evidence Code section 452, subdivision (d), of the pertinent State Bar Court records in Supreme Court matter S197330 (State Bar Court No. 12-PM-13929), admits them into evidence and directs the clerk to include copies in the record of this case.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ZoYVdyWsIca5oj1RnA2qicSh80=" w:salt="E1noVAMU4d8jzt/cz9/ZUQ=="/>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8671</Characters>
  <Application>Microsoft Office Word</Application>
  <DocSecurity>0</DocSecurity>
  <Lines>176</Lines>
  <Paragraphs>79</Paragraphs>
  <ScaleCrop>false</ScaleCrop>
  <Manager/>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2013-06-26T23:29:00Z</dcterms:created>
  <dcterms:modified xsi:type="dcterms:W3CDTF">2013-06-26T23:29:00Z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