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DECEMBER 18,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CHARLES WAYNE BROWER,</w:t>
            </w:r>
          </w:p>
          <w:p>
            <w:pPr>
              <w:rPr>
                <w:b/>
                <w:bCs/>
              </w:rPr>
            </w:pPr>
          </w:p>
          <w:p>
            <w:pPr>
              <w:rPr>
                <w:b/>
                <w:bCs/>
              </w:rPr>
            </w:pPr>
            <w:r>
              <w:rPr>
                <w:b/>
                <w:bCs/>
              </w:rPr>
              <w:t>Member No. 242460,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12-H-17088-YDR</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Charles Wayne Brower (“Respondent”) was charged with failing to comply with conditions attached to a prior public reproval.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has been a member of the California State Bar since he was admitted to practice law in this state on June 1, 2006.</w:t>
      </w:r>
    </w:p>
    <w:p>
      <w:pPr>
        <w:spacing w:line="480" w:lineRule="auto"/>
        <w:rPr>
          <w:b/>
        </w:rPr>
      </w:pPr>
      <w:r>
        <w:rPr>
          <w:b/>
        </w:rPr>
        <w:t>Procedural Requirements Have Been Satisfied</w:t>
      </w:r>
    </w:p>
    <w:p>
      <w:pPr>
        <w:spacing w:line="480" w:lineRule="auto"/>
      </w:pPr>
      <w:r>
        <w:rPr>
          <w:b/>
        </w:rPr>
        <w:tab/>
      </w:r>
      <w:r>
        <w:t xml:space="preserve">On February 26, 2013, the State Bar filed and properly served the NDC on Respondent by certified mail, return receipt requested, to his membership records address.  A courtesy copy of the NDC was served on Respondent by first-class mail at an alternate address in Lake Forest, California.  The NDC notified Respondent that his failure to participate in the proceeding would result in a disbarment recommendation.  (Rule 5.41.)  The return card was returned to the State Bar signed by "Diana Corona."  The NDC served by first-class mail was not returned by the U.S. Postal Service.    </w:t>
      </w:r>
    </w:p>
    <w:p>
      <w:pPr>
        <w:spacing w:line="480" w:lineRule="auto"/>
        <w:ind w:firstLine="720"/>
      </w:pPr>
      <w:r>
        <w:t xml:space="preserve">Respondent had actual notice of the NDC proceeding.  Prior to the filing of the NDC, Respondent participated in an early neutral evaluation conference and reached a tentative settlement with the State Bar.  However, after Respondent received the settlement documents, Respondent failed to contact the State Bar.  On April 22, 2013, the deputy trial counsel attempted to contact Respondent by calling his official membership telephone number, and by conducting an online public records search for a new or different address or telephone number for </w:t>
      </w:r>
      <w:r>
        <w:lastRenderedPageBreak/>
        <w:t xml:space="preserve">Respondent.  The deputy trial counsel called a telephone number discovered through the public records search and left a voice message.  Respondent returned the deputy trial counsel’s voice message and confirmed that he had received a copy of the NDC.  Nevertheless, Respondent failed to file a response to the NDC.  </w:t>
      </w:r>
    </w:p>
    <w:p>
      <w:pPr>
        <w:spacing w:line="480" w:lineRule="auto"/>
        <w:ind w:firstLine="720"/>
        <w:rPr>
          <w:i/>
        </w:rPr>
      </w:pPr>
      <w:r>
        <w:rPr>
          <w:i/>
        </w:rPr>
        <w:t>State Bar's First Attempt to Enter Respondent's Default for Failure to File Response</w:t>
      </w:r>
    </w:p>
    <w:p>
      <w:pPr>
        <w:spacing w:line="480" w:lineRule="auto"/>
        <w:ind w:firstLine="720"/>
      </w:pPr>
      <w:r>
        <w:t xml:space="preserve">On April 22, 2013, the State Bar filed a motion for entry of default against Respondent.  However, service of the motion for entry of Respondent’s default did not comport with rule 5.80(C).  Rule 5.80(C) requires that service of the motion for entry of default comply with rule 5.25 [address the service to the member’s address in the State Bar’s membership records.]   In this matter, the Declaration of Service to the motion for entry of default listed the wrong street address as Respondent’s State Bar membership records address.  Instead of "Latham St.," the street listed in Respondent’s State Bar membership records, the declaration listed the street address as "Lantham St." </w:t>
      </w:r>
    </w:p>
    <w:p>
      <w:pPr>
        <w:spacing w:line="480" w:lineRule="auto"/>
        <w:ind w:firstLine="720"/>
      </w:pPr>
      <w:r>
        <w:t xml:space="preserve">A courtesy copy of the motion was also sent by regular mail to Respondent at the Lake Forest, California address.  Respondent did not file a response to the motion.  His default was entered on May 10, 2013, and the court ordered his involuntary inactive enrollment.  </w:t>
      </w:r>
    </w:p>
    <w:p>
      <w:pPr>
        <w:spacing w:line="480" w:lineRule="auto"/>
        <w:ind w:firstLine="720"/>
      </w:pPr>
      <w:r>
        <w:t>On December 18, 2013, the State Bar filed and served the petition for disbarment on Respondent.  Respondent did not respond to the petition for disbarment or move to set aside or vacate the default.  The case was submitted for decision on January 15, 2014.</w:t>
      </w:r>
    </w:p>
    <w:p>
      <w:pPr>
        <w:spacing w:line="480" w:lineRule="auto"/>
        <w:ind w:firstLine="720"/>
      </w:pPr>
      <w:r>
        <w:t xml:space="preserve">However, on January 29, 2014, the court on its own motion issued an order denying the motion for entry of default, vacating the order entering Respondent's default and enrolling him inactive, ruling the petition for disbarment moot and, vacating the submission order.   </w:t>
      </w:r>
    </w:p>
    <w:p>
      <w:pPr>
        <w:spacing w:line="480" w:lineRule="auto"/>
        <w:ind w:firstLine="720"/>
        <w:rPr>
          <w:i/>
        </w:rPr>
      </w:pPr>
    </w:p>
    <w:p>
      <w:pPr>
        <w:spacing w:line="480" w:lineRule="auto"/>
        <w:ind w:firstLine="720"/>
        <w:rPr>
          <w:i/>
        </w:rPr>
      </w:pPr>
    </w:p>
    <w:p>
      <w:pPr>
        <w:spacing w:line="480" w:lineRule="auto"/>
        <w:ind w:firstLine="720"/>
        <w:rPr>
          <w:i/>
        </w:rPr>
      </w:pPr>
      <w:r>
        <w:rPr>
          <w:i/>
        </w:rPr>
        <w:lastRenderedPageBreak/>
        <w:t>State Bar's Successful Attempt to Enter Respondent's Default for Failure to File Response</w:t>
      </w:r>
    </w:p>
    <w:p>
      <w:pPr>
        <w:spacing w:line="480" w:lineRule="auto"/>
        <w:ind w:firstLine="720"/>
      </w:pPr>
      <w:r>
        <w:t>Thereafter, the State Bar filed and properly re-served the motion for entry of default on Respondent on February 6, 2014.  The motion complied with all the requirements for a default, including a supporting declaration of reasonable diligence by the State Bar senior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February 24,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w:t>
      </w:r>
    </w:p>
    <w:p>
      <w:pPr>
        <w:spacing w:line="480" w:lineRule="auto"/>
      </w:pPr>
      <w:r>
        <w:tab/>
        <w:t xml:space="preserve">Respondent did not seek to have his default set aside or vacated within the 180 day time frame required pursuant to  Rule 5.83(C)(1). </w:t>
      </w:r>
    </w:p>
    <w:p>
      <w:pPr>
        <w:spacing w:line="480" w:lineRule="auto"/>
      </w:pPr>
      <w:r>
        <w:tab/>
        <w:t xml:space="preserve">On August 29, 2014, the State Bar filed and properly served the petition for disbarment on Respondent at his official membership records address.  As required by Rule 5.85(A), the State Bar reported in the petition that (1) Respondent has not contacted the State Bar since April 22, 2013, before his default was entered on February 24, 2014; (2) there are no other matters pending against Respondent; (3) Respondent has a prior record of discipline; and (4) the Client Security Fund has not made any payments as a result of Respondent’s conduct.  Respondent did not respond to the petition for disbarment or move to set aside or vacate the default.  The case was submitted for decision on September 25, 2014.  </w:t>
      </w:r>
      <w:r>
        <w:tab/>
      </w:r>
    </w:p>
    <w:p>
      <w:pPr>
        <w:spacing w:line="480" w:lineRule="auto"/>
        <w:rPr>
          <w:b/>
        </w:rPr>
      </w:pPr>
      <w:r>
        <w:rPr>
          <w:b/>
        </w:rPr>
        <w:tab/>
      </w:r>
    </w:p>
    <w:p>
      <w:pPr>
        <w:spacing w:line="480" w:lineRule="auto"/>
        <w:ind w:firstLine="720"/>
      </w:pPr>
      <w:r>
        <w:lastRenderedPageBreak/>
        <w:t>Respondent has one prior record of discipline.</w:t>
      </w:r>
      <w:r>
        <w:rPr>
          <w:rStyle w:val="FootnoteReference"/>
        </w:rPr>
        <w:footnoteReference w:id="3"/>
      </w:r>
      <w:r>
        <w:t xml:space="preserve">  Pursuant to an order of the State Bar Court filed on April 4, 2012, Respondent was publicly reproved with conditions for failing to take reasonable steps to avoid reasonably foreseeable prejudice to his clients.  Respondent entered into a stipulation in this prior disciplinary matter.</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12-H-17088 (Reproval Matter)</w:t>
      </w:r>
    </w:p>
    <w:p>
      <w:pPr>
        <w:spacing w:line="480" w:lineRule="auto"/>
      </w:pPr>
      <w:r>
        <w:tab/>
        <w:t>Respondent willfully violated rule 1</w:t>
      </w:r>
      <w:r>
        <w:noBreakHyphen/>
        <w:t xml:space="preserve">110 of the Rules of Professional Conduct (failure to comply with conditions of reproval), by failing to comply with specified conditions of his public reproval effective on April 25, 2012. </w:t>
      </w:r>
    </w:p>
    <w:p>
      <w:pPr>
        <w:spacing w:line="480" w:lineRule="auto"/>
        <w:rPr>
          <w:b/>
        </w:rPr>
      </w:pPr>
      <w:r>
        <w:rPr>
          <w:b/>
        </w:rPr>
        <w:t>Disbarment is Recommended</w:t>
      </w:r>
    </w:p>
    <w:p>
      <w:pPr>
        <w:spacing w:line="480" w:lineRule="auto"/>
      </w:pPr>
      <w:r>
        <w:tab/>
        <w:t>Based on the above, the court concludes that the requirements of Rules of Professional Conduct,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pPr>
      <w:r>
        <w:t>(2) Respondent had actual notice of this proceeding since he participated in an early neutral evaluation conference relating to this matter and spoke with the assigned deputy trial counsel, confirming his receipt of the NDC;</w:t>
      </w:r>
    </w:p>
    <w:p>
      <w:pPr>
        <w:spacing w:line="480" w:lineRule="auto"/>
      </w:pPr>
      <w:r>
        <w:lastRenderedPageBreak/>
        <w:tab/>
      </w:r>
    </w:p>
    <w:p>
      <w:pPr>
        <w:spacing w:line="480" w:lineRule="auto"/>
        <w:ind w:firstLine="720"/>
      </w:pP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t xml:space="preserve"> </w:t>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Charles Wayne Brower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p>
    <w:p>
      <w:pPr>
        <w:spacing w:line="480" w:lineRule="auto"/>
        <w:jc w:val="center"/>
        <w:rPr>
          <w:b/>
        </w:rPr>
      </w:pPr>
    </w:p>
    <w:p>
      <w:pPr>
        <w:spacing w:line="480" w:lineRule="auto"/>
        <w:jc w:val="center"/>
        <w:rPr>
          <w:b/>
        </w:rPr>
      </w:pPr>
    </w:p>
    <w:p>
      <w:pPr>
        <w:spacing w:line="480" w:lineRule="auto"/>
        <w:jc w:val="center"/>
        <w:rPr>
          <w:b/>
        </w:rPr>
      </w:pP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Charles Wayne Brower, State Bar number 242460,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December 17, 2014</w:t>
            </w:r>
          </w:p>
        </w:tc>
        <w:tc>
          <w:tcPr>
            <w:tcW w:w="4565" w:type="dxa"/>
            <w:tcBorders>
              <w:top w:val="single" w:sz="4" w:space="0" w:color="auto"/>
              <w:bottom w:val="nil"/>
              <w:right w:val="nil"/>
            </w:tcBorders>
          </w:tcPr>
          <w:p>
            <w:r>
              <w:t>Yvette D. Roland</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court admits into evidence the certified copy of Respondent’s prior record of discipline that was attached to the State Bar’s August 29, 2014, petition for disbarment after default.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ffISTpNJaBys8YCfLzBje30Xsrk=" w:salt="utm/jiGuu01WOmUavE86EA=="/>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2015-01-22T23:10:00Z</dcterms:created>
  <dcterms:modified xsi:type="dcterms:W3CDTF">2015-01-22T23:39:00Z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