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DECEMBER 27, 2012</w:t>
      </w:r>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JOSEPH EUGENE PETRILLO,</w:t>
            </w:r>
          </w:p>
          <w:p>
            <w:pPr>
              <w:rPr>
                <w:b/>
                <w:bCs/>
              </w:rPr>
            </w:pPr>
          </w:p>
          <w:p>
            <w:pPr>
              <w:rPr>
                <w:b/>
                <w:bCs/>
              </w:rPr>
            </w:pPr>
            <w:r>
              <w:rPr>
                <w:b/>
                <w:bCs/>
              </w:rPr>
              <w:t>Member No.  58010,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12-N-10076-LMA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Joseph Eugene Petrillo (respondent) was charged with violating Business and Professions Code section 6103 and California Rules of Court, rule 9.20(c).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pPr>
      <w:r>
        <w:rPr>
          <w:b/>
        </w:rPr>
        <w:lastRenderedPageBreak/>
        <w:tab/>
      </w:r>
      <w:r>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pPr>
      <w:r>
        <w:rPr>
          <w:b/>
        </w:rPr>
        <w:tab/>
      </w:r>
      <w:r>
        <w:t xml:space="preserve">Respondent was admitted to practice law in this state on December 19, 1973, and has been a member since then.  </w:t>
      </w:r>
    </w:p>
    <w:p>
      <w:pPr>
        <w:spacing w:line="480" w:lineRule="auto"/>
        <w:rPr>
          <w:b/>
        </w:rPr>
      </w:pPr>
      <w:r>
        <w:rPr>
          <w:b/>
        </w:rPr>
        <w:t>Procedural Requirements Have Been Satisfied</w:t>
      </w:r>
    </w:p>
    <w:p>
      <w:pPr>
        <w:spacing w:line="480" w:lineRule="auto"/>
      </w:pPr>
      <w:r>
        <w:rPr>
          <w:b/>
        </w:rPr>
        <w:tab/>
      </w:r>
      <w:r>
        <w:t xml:space="preserve">On January 24, 2012, the State Bar properly filed and served an NDC on respondent by certified mail, return receipt requested, at his membership records address.  The NDC notified respondent that his failure to participate in the proceeding would result in a disbarment recommendation.  (Rule 5.41.)  The United States Postal Service returned the NDC as undeliverable.  </w:t>
      </w:r>
    </w:p>
    <w:p>
      <w:pPr>
        <w:spacing w:line="480" w:lineRule="auto"/>
      </w:pPr>
      <w:r>
        <w:rPr>
          <w:b/>
        </w:rPr>
        <w:tab/>
      </w:r>
      <w:r>
        <w:t>Thereafter, the State Bar, knowing respondent was on disciplinary probation, contacted his probation deputy in an effort to locate an alternative address.  The State Bar attempted to reach respondent by telephone at his official membership records telephone number and emailed respondent at his membership records email address</w:t>
      </w:r>
      <w:r>
        <w:rPr>
          <w:rStyle w:val="FootnoteReference"/>
        </w:rPr>
        <w:footnoteReference w:id="3"/>
      </w:r>
      <w:r>
        <w:t xml:space="preserve"> and at a second email address.</w:t>
      </w:r>
      <w:r>
        <w:rPr>
          <w:rStyle w:val="FootnoteReference"/>
        </w:rPr>
        <w:footnoteReference w:id="4"/>
      </w:r>
      <w:r>
        <w:t xml:space="preserve">  The State Bar also called a telephone number located through directory assistance and spoke to a woman who identified herself as respondent’s ex-wife.  This woman told the State Bar that she had no knowledge of respondent’s whereabouts, but believed he had moved out of the country five years ago.  The State Bar also conducted internet people searches through LexisNexis and Zabasearch.  </w:t>
      </w:r>
      <w:r>
        <w:lastRenderedPageBreak/>
        <w:t xml:space="preserve">The State Bar located a possible address in Florida and sent a courtesy copy of the NDC to that address.  </w:t>
      </w:r>
    </w:p>
    <w:p>
      <w:pPr>
        <w:spacing w:line="480" w:lineRule="auto"/>
      </w:pPr>
      <w:r>
        <w:rPr>
          <w:b/>
        </w:rPr>
        <w:tab/>
      </w:r>
      <w:r>
        <w:t>Respondent failed to file a response to the NDC.  On February 24, 2012,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March 13, 2012.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Respondent also did not seek to have his default set aside or vacated. (Rule 5.83(C)(1) [attorney has 180 days to file motion to set aside default].)  On September 19, 2012, the State Bar filed the petition for disbarment.  As required by rule 5.85(A), the State Bar reported in the petition that (1) it has had no contact with respondent since the default was entered; (2) there are no other disciplinary matters pending against respondent; (3) respondent has a prior record of discipline; and (4) the Client Security Fund has not made payments resulting from respondent’s conduct.  Respondent did not respond to the petition for disbarment or move to set aside or vacate the default.  The case was submitted for decision on October 18, 2012.</w:t>
      </w:r>
    </w:p>
    <w:p>
      <w:pPr>
        <w:spacing w:line="480" w:lineRule="auto"/>
        <w:rPr>
          <w:b/>
        </w:rPr>
      </w:pPr>
      <w:r>
        <w:rPr>
          <w:b/>
        </w:rPr>
        <w:tab/>
      </w:r>
      <w:r>
        <w:t>Respondent has been disciplined on one prior occasion.</w:t>
      </w:r>
      <w:r>
        <w:rPr>
          <w:rStyle w:val="FootnoteReference"/>
        </w:rPr>
        <w:footnoteReference w:id="5"/>
      </w:r>
      <w:r>
        <w:rPr>
          <w:b/>
        </w:rPr>
        <w:t xml:space="preserve">  </w:t>
      </w:r>
      <w:r>
        <w:t>Pursuant to a Supreme Court order filed on June 27, 2011, respondent was suspended for one year, the execution of which was stayed, and he was suspended from the practice of law for 30 days and until: (1) he pays judicial sanctions; and (2) the State Bar Court grants a motion to terminate his suspension.  In this default matter, respondent was found culpable of disobeying a court order and failing to participate in a disciplinary investigation.</w:t>
      </w:r>
      <w:r>
        <w:rPr>
          <w:b/>
        </w:rPr>
        <w:t xml:space="preserv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r>
        <w:tab/>
      </w:r>
    </w:p>
    <w:p>
      <w:pPr>
        <w:pStyle w:val="Header"/>
        <w:tabs>
          <w:tab w:val="clear" w:pos="4320"/>
          <w:tab w:val="clear" w:pos="8640"/>
        </w:tabs>
        <w:spacing w:line="480" w:lineRule="auto"/>
        <w:rPr>
          <w:b/>
        </w:rPr>
      </w:pPr>
      <w:r>
        <w:rPr>
          <w:b/>
        </w:rPr>
        <w:tab/>
        <w:t>Case Number 12-N-10076 (Rule 9.20 Matter)</w:t>
      </w:r>
    </w:p>
    <w:p>
      <w:pPr>
        <w:pStyle w:val="Header"/>
        <w:tabs>
          <w:tab w:val="clear" w:pos="4320"/>
          <w:tab w:val="clear" w:pos="8640"/>
        </w:tabs>
        <w:spacing w:line="480" w:lineRule="auto"/>
      </w:pPr>
      <w:r>
        <w:rPr>
          <w:b/>
        </w:rPr>
        <w:tab/>
      </w:r>
      <w:r>
        <w:t xml:space="preserve">Respondent violated Business and Professions Code section 6103 (failure to obey a court order) and California Rules of Court, rule 9.20(c) (duties of disbarred, resigned or suspended attorneys-compliance affidavit) by failing to submit a timely rule 9.20(c) compliance declaration as ordered by the Supreme Court in its June 27, 2011 order. </w:t>
      </w:r>
    </w:p>
    <w:p>
      <w:pPr>
        <w:pStyle w:val="Header"/>
        <w:tabs>
          <w:tab w:val="clear" w:pos="4320"/>
          <w:tab w:val="clear" w:pos="8640"/>
        </w:tabs>
        <w:spacing w:line="480" w:lineRule="auto"/>
        <w:rPr>
          <w:b/>
        </w:rPr>
      </w:pPr>
      <w:r>
        <w:rPr>
          <w:b/>
        </w:rPr>
        <w:t>Disbarment is Mandated under the Rules of Procedure</w:t>
      </w:r>
    </w:p>
    <w:p>
      <w:pPr>
        <w:pStyle w:val="Header"/>
        <w:tabs>
          <w:tab w:val="clear" w:pos="4320"/>
          <w:tab w:val="clear" w:pos="8640"/>
        </w:tabs>
        <w:spacing w:line="480" w:lineRule="auto"/>
      </w:pPr>
      <w:r>
        <w:rPr>
          <w:b/>
        </w:rPr>
        <w:tab/>
      </w:r>
      <w:r>
        <w:t>Based on the above, the court concludes that the requirements of rule 5.85(E) have been satisfied, and respondent’s disbarment must be recommended.  In particular:</w:t>
      </w:r>
    </w:p>
    <w:p>
      <w:pPr>
        <w:pStyle w:val="Header"/>
        <w:tabs>
          <w:tab w:val="clear" w:pos="4320"/>
          <w:tab w:val="clear" w:pos="8640"/>
        </w:tabs>
        <w:spacing w:line="480" w:lineRule="auto"/>
      </w:pPr>
      <w:r>
        <w:rPr>
          <w:b/>
        </w:rPr>
        <w:tab/>
      </w:r>
      <w:r>
        <w:t>(1) the NDC was properly served on respondent under rule 5.25;</w:t>
      </w:r>
    </w:p>
    <w:p>
      <w:pPr>
        <w:spacing w:line="480" w:lineRule="auto"/>
      </w:pPr>
      <w:r>
        <w:rPr>
          <w:b/>
        </w:rPr>
        <w:tab/>
      </w:r>
      <w:r>
        <w:t>(2) reasonable diligence was used to notify respondent of the proceedings prior to the entry of his default, as the State Bar properly served him with the NDC and made various efforts to locate respondent, including:  calling his membership records telephone number; emailing his membership records email address and a possible alternative email address; mailing a courtesy copy of the NDC to him at an additional possible address; conducting LexisNexis, Zabasearch, and directory assistance searches; and calling a telephone number located through directory assistance and speaking to a woman who identified herself as respondent’s ex-wife;</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his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pPr>
      <w:r>
        <w:rPr>
          <w:b/>
        </w:rPr>
        <w:tab/>
      </w:r>
      <w:r>
        <w:t xml:space="preserve">The court recommends that respondent Joseph Eugene Petrillo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rPr>
          <w:b/>
        </w:rPr>
      </w:pPr>
      <w:r>
        <w:rPr>
          <w:b/>
        </w:rPr>
        <w:br w:type="page"/>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Joseph Eugene Petrillo, State Bar number 58010, be involuntarily enrolled as an inactive member of the State Bar of California, effective three calendar days after the service of this decision and order.  (Rule 5.111(D).)</w:t>
      </w:r>
    </w:p>
    <w:p>
      <w:pPr>
        <w:spacing w:line="480" w:lineRule="auto"/>
        <w:rPr>
          <w:b/>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January _____, 2013</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4">
    <w:p>
      <w:pPr>
        <w:pStyle w:val="FootnoteText"/>
      </w:pPr>
      <w:r>
        <w:rPr>
          <w:rStyle w:val="FootnoteReference"/>
        </w:rPr>
        <w:footnoteRef/>
      </w:r>
      <w:r>
        <w:t xml:space="preserve"> The State Bar previously communicated with respondent at the second email address in October 2010.</w:t>
      </w:r>
    </w:p>
  </w:footnote>
  <w:footnote w:id="5">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04qrusyI76UN6x8hJUVvA+dyX+0=" w:salt="AuHBucXqUHNvaneSI+tkFg=="/>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7266</Characters>
  <Application>Microsoft Office Word</Application>
  <DocSecurity>0</DocSecurity>
  <Lines>148</Lines>
  <Paragraphs>62</Paragraphs>
  <ScaleCrop>false</ScaleCrop>
  <Manager/>
  <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2013-01-24T00:34:00Z</dcterms:created>
  <dcterms:modified xsi:type="dcterms:W3CDTF">2013-01-24T00:34:00Z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