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11, 2013</w:t>
      </w:r>
    </w:p>
    <w:p/>
    <w:p/>
    <w:p/>
    <w:p/>
    <w:p/>
    <w:p>
      <w:pPr>
        <w:pStyle w:val="Heading1"/>
      </w:pPr>
      <w:r>
        <w:t>STATE BAR COURT OF CALIFORNIA</w:t>
      </w:r>
    </w:p>
    <w:p>
      <w:pPr>
        <w:spacing w:line="480" w:lineRule="auto"/>
        <w:jc w:val="center"/>
        <w:rPr>
          <w:b/>
          <w:bCs/>
        </w:rPr>
      </w:pPr>
      <w:r>
        <w:rPr>
          <w:b/>
          <w:bCs/>
        </w:rPr>
        <w:t xml:space="preserve">HEARING DEPARTMENT – </w:t>
      </w:r>
      <w:bookmarkStart w:id="0" w:name="venue"/>
      <w:bookmarkEnd w:id="0"/>
      <w:r>
        <w:rPr>
          <w:b/>
          <w:bCs/>
        </w:rPr>
        <w:t>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bookmarkStart w:id="1" w:name="resp"/>
            <w:bookmarkEnd w:id="1"/>
            <w:r>
              <w:rPr>
                <w:b/>
                <w:bCs/>
              </w:rPr>
              <w:t>MICHAEL DAVID CROCKETT,</w:t>
            </w:r>
          </w:p>
          <w:p>
            <w:pPr>
              <w:rPr>
                <w:b/>
                <w:bCs/>
              </w:rPr>
            </w:pPr>
          </w:p>
          <w:p>
            <w:pPr>
              <w:rPr>
                <w:b/>
                <w:bCs/>
              </w:rPr>
            </w:pPr>
            <w:r>
              <w:rPr>
                <w:b/>
                <w:bCs/>
              </w:rPr>
              <w:t xml:space="preserve">Member No.  </w:t>
            </w:r>
            <w:bookmarkStart w:id="2" w:name="member"/>
            <w:bookmarkEnd w:id="2"/>
            <w:r>
              <w:rPr>
                <w:b/>
                <w:bCs/>
              </w:rPr>
              <w:t>228124,</w:t>
            </w:r>
          </w:p>
          <w:p>
            <w:pPr>
              <w:rPr>
                <w:b/>
                <w:bCs/>
              </w:rPr>
            </w:pPr>
          </w:p>
          <w:p>
            <w:bookmarkStart w:id="3" w:name="type"/>
            <w:bookmarkEnd w:id="3"/>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bookmarkStart w:id="4" w:name="caseno"/>
            <w:bookmarkEnd w:id="4"/>
            <w:r>
              <w:rPr>
                <w:b/>
                <w:bCs/>
              </w:rPr>
              <w:t>12-N-13531-RAH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bookmarkStart w:id="5" w:name="title"/>
            <w:bookmarkEnd w:id="5"/>
            <w:r>
              <w:rPr>
                <w:b/>
                <w:bCs/>
              </w:rPr>
              <w:t>DECISION AND ORDER OF INVOLUNTARY INACTIVE ENROLLMENT</w:t>
            </w:r>
          </w:p>
        </w:tc>
      </w:tr>
    </w:tbl>
    <w:p>
      <w:pPr>
        <w:spacing w:line="480" w:lineRule="auto"/>
      </w:pPr>
    </w:p>
    <w:p>
      <w:pPr>
        <w:spacing w:line="480" w:lineRule="auto"/>
      </w:pPr>
      <w:r>
        <w:tab/>
        <w:t>Respondent Michael David Crockett (respondent) was charged with willfully violating California Rules of Court, rule 9.20, by willfully disobeying or violating a court order requiring compliance with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rPr>
          <w:b/>
        </w:rPr>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rPr>
          <w:b/>
        </w:rP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2, 2003, and has been a member since then.</w:t>
      </w:r>
    </w:p>
    <w:p>
      <w:pPr>
        <w:spacing w:line="480" w:lineRule="auto"/>
        <w:rPr>
          <w:b/>
        </w:rPr>
      </w:pPr>
      <w:r>
        <w:rPr>
          <w:b/>
        </w:rPr>
        <w:t>Procedural Requirements Have Been Satisfied</w:t>
      </w:r>
    </w:p>
    <w:p>
      <w:pPr>
        <w:spacing w:line="480" w:lineRule="auto"/>
      </w:pPr>
      <w:r>
        <w:rPr>
          <w:b/>
        </w:rPr>
        <w:tab/>
      </w:r>
      <w:r>
        <w:t>On June 6, 2012, the State Bar filed and properly served the NDC on respondent by certified mail, return receipt requested, at his membership records address.</w:t>
      </w:r>
      <w:r>
        <w:rPr>
          <w:rStyle w:val="FootnoteReference"/>
        </w:rPr>
        <w:footnoteReference w:id="3"/>
      </w:r>
      <w:r>
        <w:t xml:space="preserve">  The NDC notified respondent that his failure to participate in the proceeding would result in a disbarment recommendation.  (Rule 5.41.)  As of July 16, 2012, the State Bar had not received the return receipt.  </w:t>
      </w:r>
    </w:p>
    <w:p>
      <w:pPr>
        <w:spacing w:line="480" w:lineRule="auto"/>
        <w:ind w:firstLine="720"/>
      </w:pPr>
      <w:r>
        <w:t>Thereafter, the State Bar attempted to notify respondent of these proceedings by</w:t>
      </w:r>
    </w:p>
    <w:p>
      <w:pPr>
        <w:spacing w:line="480" w:lineRule="auto"/>
      </w:pPr>
      <w:r>
        <w:t>(1) sending the NDC to respondent by regular, first-class mail to his prior membership records address; (2) attempting to locate respondent’s membership records telephone number; (3) sending an email, which attached the NDC, to an email address for respondent maintained by membership records, notifying respondent that a NDC had been filed against him in State Bar Court;</w:t>
      </w:r>
      <w:r>
        <w:rPr>
          <w:rStyle w:val="FootnoteReference"/>
        </w:rPr>
        <w:footnoteReference w:id="4"/>
      </w:r>
      <w:r>
        <w:t xml:space="preserve"> and (4) sending the NDC to respondent by regular, first-class mail to his membership records address and to four other addresses indentified in an on-line search report as possibly belonging to respondent.</w:t>
      </w:r>
      <w:r>
        <w:rPr>
          <w:rStyle w:val="FootnoteReference"/>
        </w:rPr>
        <w:footnoteReference w:id="5"/>
      </w:r>
      <w:r>
        <w:t xml:space="preserve">  </w:t>
      </w:r>
    </w:p>
    <w:p>
      <w:pPr>
        <w:spacing w:line="480" w:lineRule="auto"/>
        <w:ind w:firstLine="720"/>
      </w:pPr>
      <w:r>
        <w:t>Respondent failed to file a response to the NDC.  On July 16, 2012, the State Bar filed and properly served a motion for entry of default on respondent by certified mail, return receipt requested, to his membership records address and by regular first-class mail to respondent’s prior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7, 2012.  The order entering the default was properly served on respondent at both his membership records address and his prior membership records address by certified mail, return receipt requested, and by first-class mail to his prior membership records address.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February 15, 2013, the State Bar filed and properly served the petition for disbarment on respondent by certified mail, return receipt requested, to both his membership records address and to his prior membership records address.  As required by rule 5.85(A), the State Bar reported in the petition that:  (1) as of February 15, 2013, respondent has not contacted the State Bar since August 7, 2013, the date the order entering his default was filed and served; (2) there are no other disciplinary matters pending against respondent; (3) respondent has a record of prior discipline; and (4) the Client Security Fund has not made any payments resulting from respondent’s conduct.  Respondent did not respond to the petition for disbarment or move to set aside or vacate the default.  The case was submitted for decision on March 19, 2013.</w:t>
      </w:r>
    </w:p>
    <w:p>
      <w:pPr>
        <w:spacing w:line="480" w:lineRule="auto"/>
      </w:pPr>
      <w:r>
        <w:tab/>
        <w:t>Respondent has a prior record of discipline.</w:t>
      </w:r>
      <w:r>
        <w:rPr>
          <w:rStyle w:val="FootnoteReference"/>
        </w:rPr>
        <w:footnoteReference w:id="6"/>
      </w:r>
      <w:r>
        <w:t xml:space="preserve">  Pursuant to a Supreme Court order filed on January 30, 2012, respondent was suspended for one year, the execution of which was stayed, and he was placed on probation for three years on conditions including that he be suspended for the first 120 days of probation.  Respondent participated in this prior disciplinary matter.  The court found that respondent failed to provide the required accounting of the fees paid to him by his client in willful violation of rule 4-100(B)(3) of the Rules of Professional Conduct.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12-N-13531 (Rule 9.20 Matter)</w:t>
      </w:r>
    </w:p>
    <w:p>
      <w:pPr>
        <w:spacing w:line="480" w:lineRule="auto"/>
      </w:pPr>
      <w:r>
        <w:rPr>
          <w:b/>
        </w:rPr>
        <w:tab/>
      </w:r>
      <w:r>
        <w:t xml:space="preserve">Respondent willfully violated California Rules of Court, rule 9.20 (duties of disbarred, resigned or suspended attorneys), by not filing a declaration of compliance with rule 9.20 in conformity with the requirements of rule 9.20(c), thereby failing to timely comply with the provisions of the Supreme Court’s January 30, 2012 order requiring compliance with California Rules of Court, rule 9.20.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(2) reasonable diligence was used to notify respondent of the proceedings prior to the entry of his default, as the State Bar (1)</w:t>
      </w:r>
      <w:r>
        <w:rPr>
          <w:b/>
        </w:rPr>
        <w:t xml:space="preserve"> </w:t>
      </w:r>
      <w:r>
        <w:t>filed and properly served the NDC on respondent by certified mail, return receipt requested, at his membership records address; (2) sent the NDC to respondent by regular, first-class mail to his prior membership records address; (2) attempted to locate respondent’s membership records telephone number; (3) sent an email, which attached the NDC, to an email address for respondent maintained by membership records; and (4) sent the NDC to respondent by regular, first-class mail to his membership records address and to four other addresses indentified in an on-line search report;</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Michael David Crockett be disbarred from the practice of law in the State of California and that his name be stricken from the roll of attorneys.</w:t>
      </w:r>
    </w:p>
    <w:p>
      <w:pPr>
        <w:spacing w:line="480" w:lineRule="auto"/>
        <w:rPr>
          <w:b/>
        </w:rPr>
      </w:pPr>
      <w:r>
        <w:rPr>
          <w:b/>
        </w:rPr>
        <w:t>/ / /</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Michael David Crockett, State Bar number 228124,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fldSimple w:instr=" DATE \@ &quot;MMMM _____, yyyy&quot; \* MERGEFORMAT ">
              <w:r>
                <w:rPr>
                  <w:noProof/>
                </w:rPr>
                <w:t>June _____, 2013</w:t>
              </w:r>
            </w:fldSimple>
          </w:p>
        </w:tc>
        <w:tc>
          <w:tcPr>
            <w:tcW w:w="4565" w:type="dxa"/>
            <w:tcBorders>
              <w:top w:val="single" w:sz="4" w:space="0" w:color="auto"/>
              <w:bottom w:val="nil"/>
              <w:right w:val="nil"/>
            </w:tcBorders>
          </w:tcPr>
          <w:p>
            <w:bookmarkStart w:id="6" w:name="judge"/>
            <w:bookmarkEnd w:id="6"/>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On May 29, 2012, respondent changed his membership records address from 343 27</w:t>
      </w:r>
      <w:r>
        <w:rPr>
          <w:vertAlign w:val="superscript"/>
        </w:rPr>
        <w:t>th</w:t>
      </w:r>
      <w:r>
        <w:t xml:space="preserve"> Street, Hermosa Beach, California 90254 to 1600 Pennsylvania Avenue, Washington, DC 20500.  The State Bar deputy trial counsel assigned to this matter researched the official White House website and was unable to find any information linking respondent with residence and/or employment at the White House.      </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p>
      <w:pPr>
        <w:pStyle w:val="FootnoteText"/>
      </w:pPr>
    </w:p>
  </w:footnote>
  <w:footnote w:id="5">
    <w:p>
      <w:pPr>
        <w:pStyle w:val="FootnoteText"/>
      </w:pPr>
      <w:r>
        <w:rPr>
          <w:rStyle w:val="FootnoteReference"/>
        </w:rPr>
        <w:footnoteRef/>
      </w:r>
      <w:r>
        <w:t xml:space="preserve"> Several of these addresses were respondent’s prior membership records addresses.</w:t>
      </w:r>
    </w:p>
  </w:footnote>
  <w:footnote w:id="6">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attachedTemplate r:id="rId1"/>
  <w:documentProtection w:edit="forms" w:enforcement="1" w:cryptProviderType="rsaFull" w:cryptAlgorithmClass="hash" w:cryptAlgorithmType="typeAny" w:cryptAlgorithmSid="4" w:cryptSpinCount="100000" w:hash="l+xNRI9htd7wpsnT7k/676dM59o=" w:salt="DanaaEXbNvrNtBv7xDXjIg=="/>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8579-315F-43A3-A661-242F0EE4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No_line_pleading.dotm</Template>
  <TotalTime>0</TotalTime>
  <Pages>2</Pages>
  <Words>1463</Words>
  <Characters>7740</Characters>
  <Application>Microsoft Office Word</Application>
  <DocSecurity>0</DocSecurity>
  <Lines>154</Lines>
  <Paragraphs>63</Paragraphs>
  <ScaleCrop>false</ScaleCrop>
  <Manager/>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2013-06-24T22:48:00Z</dcterms:created>
  <dcterms:modified xsi:type="dcterms:W3CDTF">2013-06-24T22:48:00Z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