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2,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LOYD LEE BROWN, JR.,</w:t>
            </w:r>
          </w:p>
          <w:p>
            <w:pPr>
              <w:rPr>
                <w:b/>
                <w:bCs/>
              </w:rPr>
            </w:pPr>
          </w:p>
          <w:p>
            <w:pPr>
              <w:rPr>
                <w:b/>
                <w:bCs/>
              </w:rPr>
            </w:pPr>
            <w:r>
              <w:rPr>
                <w:b/>
                <w:bCs/>
              </w:rPr>
              <w:t>Member No.  195240,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12-O-11298-LMA</w:t>
            </w:r>
          </w:p>
          <w:p>
            <w:pPr>
              <w:rPr>
                <w:bCs/>
              </w:rPr>
            </w:pPr>
            <w:r>
              <w:rPr>
                <w:bCs/>
              </w:rPr>
              <w:t>(12-O-17985)</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Loyd Lee Brown, Jr., was charged with five counts of misconduct stemming from two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1, 1998, and has been a member since then.  </w:t>
      </w:r>
    </w:p>
    <w:p>
      <w:pPr>
        <w:spacing w:line="480" w:lineRule="auto"/>
        <w:rPr>
          <w:b/>
        </w:rPr>
      </w:pPr>
      <w:r>
        <w:rPr>
          <w:b/>
        </w:rPr>
        <w:t>Procedural Requirements Have Been Satisfied</w:t>
      </w:r>
    </w:p>
    <w:p>
      <w:pPr>
        <w:spacing w:line="480" w:lineRule="auto"/>
        <w:ind w:firstLine="720"/>
      </w:pPr>
      <w:r>
        <w:t xml:space="preserve">On October 30, 2013, the State Bar properly filed and served an NDC on respondent by certified mail, return receipt requested, at his membership records address.  The NDC notified respondent that his failure to participate in the proceeding would result in a disbarment recommendation.  (Rule 5.41.)  The State Bar did not receive a return card from the U.S. Postal Service.  </w:t>
      </w:r>
    </w:p>
    <w:p>
      <w:pPr>
        <w:spacing w:line="480" w:lineRule="auto"/>
        <w:ind w:firstLine="720"/>
      </w:pPr>
      <w:r>
        <w:t>In addition, reasonable diligence was also used to notify respondent of this proceeding.  The State Bar made several attempts to contact respondent without success.  These efforts included calling him and leaving a message at his membership records telephone number, checking with the Office of Probation of the State Bar of California (Office of Probation) for alternative contact information for respondent, and sending an email to respondent at an email address provided by the Office of Probation.</w:t>
      </w:r>
      <w:r>
        <w:rPr>
          <w:rStyle w:val="FootnoteReference"/>
        </w:rPr>
        <w:footnoteReference w:id="3"/>
      </w:r>
      <w:r>
        <w:t xml:space="preserve">  </w:t>
      </w:r>
    </w:p>
    <w:p>
      <w:pPr>
        <w:spacing w:line="480" w:lineRule="auto"/>
        <w:ind w:firstLine="720"/>
      </w:pPr>
      <w:r>
        <w:t xml:space="preserve">Respondent failed to file a response to the NDC.  On December 4,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w:t>
      </w:r>
      <w:r>
        <w:lastRenderedPageBreak/>
        <w:t>default, the court would recommend his disbarment.  Respondent did not file a response to the motion, and his default was entered on December 20,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June 25, 2014, the State Bar filed the petition for disbarment.  As required by rule 5.85(A), the State Bar reported in the petition that:  (1) it has had no contact with respondent since the default was entered; (2) respondent has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July 22, 2014.  </w:t>
      </w:r>
    </w:p>
    <w:p>
      <w:pPr>
        <w:pStyle w:val="Header"/>
        <w:tabs>
          <w:tab w:val="clear" w:pos="4320"/>
          <w:tab w:val="clear" w:pos="8640"/>
        </w:tabs>
        <w:spacing w:line="480" w:lineRule="auto"/>
        <w:ind w:firstLine="720"/>
      </w:pPr>
      <w:r>
        <w:t>Respondent has been disciplined on one prior occasion.</w:t>
      </w:r>
      <w:r>
        <w:rPr>
          <w:rStyle w:val="FootnoteReference"/>
        </w:rPr>
        <w:footnoteReference w:id="4"/>
      </w:r>
      <w:r>
        <w:t xml:space="preserve">  Pursuant to a Supreme Court order filed on May 17, 2012, in case no. S198742, respondent was suspended for one year, the execution of which was stayed, and he was placed on probation for two years.  In this matter, respondent stipulated to three counts of misconduct, including splitting fees with a non-attorney, failing to competently perform legal services, and failing to refund an unearned fee.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w:t>
      </w:r>
      <w:r>
        <w:lastRenderedPageBreak/>
        <w:t xml:space="preserve">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No. 12-O-17985 – The Disciplinary Probation Matter</w:t>
      </w:r>
    </w:p>
    <w:p>
      <w:pPr>
        <w:spacing w:line="480" w:lineRule="auto"/>
        <w:ind w:firstLine="720"/>
      </w:pPr>
      <w:r>
        <w:t>Count One – respondent willfully violated Business and Professions Code section 6068, subdivision (k) (failure to comply with conditions of probation), by failing to:  (1) timely contact the Office of Probation to schedule a meeting; (2) meet with the probation deputy; (3) submit four quarterly reports; and (4) provide the Office of Probation with proof of completion of Ethic School.</w:t>
      </w:r>
    </w:p>
    <w:p>
      <w:pPr>
        <w:spacing w:line="480" w:lineRule="auto"/>
        <w:ind w:firstLine="720"/>
        <w:rPr>
          <w:b/>
        </w:rPr>
      </w:pPr>
      <w:r>
        <w:rPr>
          <w:b/>
        </w:rPr>
        <w:t>Case No. 12-O-11298 – The Wall Matter</w:t>
      </w:r>
    </w:p>
    <w:p>
      <w:pPr>
        <w:spacing w:line="480" w:lineRule="auto"/>
        <w:ind w:firstLine="720"/>
      </w:pPr>
      <w:r>
        <w:t>Count Two – respondent willfully violated Rules of Professional Conduct, rule 3</w:t>
      </w:r>
      <w:r>
        <w:noBreakHyphen/>
        <w:t xml:space="preserve">110(A) (failure to perform) by failing to oppose demurrers and motions to strike, and failing to amend a complaint.  </w:t>
      </w:r>
    </w:p>
    <w:p>
      <w:pPr>
        <w:spacing w:line="480" w:lineRule="auto"/>
        <w:ind w:firstLine="720"/>
      </w:pPr>
      <w:r>
        <w:t xml:space="preserve">Count Three – respondent willfully violated Business and Professions Code section 6068, subdivision (m) (failure to communicate), by failing to respond to four emails and five telephonic status inquiries reasonably made by respondent’s client.  </w:t>
      </w:r>
    </w:p>
    <w:p>
      <w:pPr>
        <w:spacing w:line="480" w:lineRule="auto"/>
        <w:ind w:firstLine="720"/>
      </w:pPr>
      <w:r>
        <w:t>Count Four – respondent willfully violated Rules of Professional Conduct, rule 3</w:t>
      </w:r>
      <w:r>
        <w:noBreakHyphen/>
        <w:t xml:space="preserve">700(A)(2) (improper withdrawal) by constructively terminating his employment by failing to take any action on his client’s behalf for nearly three months prior to executing a substitution of counsel.  </w:t>
      </w:r>
    </w:p>
    <w:p>
      <w:pPr>
        <w:spacing w:line="480" w:lineRule="auto"/>
        <w:ind w:firstLine="720"/>
      </w:pPr>
      <w:r>
        <w:t>Count Five – respondent willfully violated Rules of Professional Conduct, rule 3</w:t>
      </w:r>
      <w:r>
        <w:noBreakHyphen/>
        <w:t xml:space="preserve">310(B)(3) (conflict) by failing to advise his client, in writing, that respondent had a business relationship with another entity that respondent knew or reasonably should have known would be negatively affected by the resolution of his client’s matter.  </w:t>
      </w:r>
    </w:p>
    <w:p>
      <w:pPr>
        <w:pStyle w:val="Header"/>
        <w:tabs>
          <w:tab w:val="clear" w:pos="4320"/>
          <w:tab w:val="clear" w:pos="8640"/>
        </w:tabs>
        <w:spacing w:line="480" w:lineRule="auto"/>
        <w:rPr>
          <w:b/>
        </w:rPr>
      </w:pPr>
      <w:r>
        <w:rPr>
          <w:b/>
        </w:rPr>
        <w:lastRenderedPageBreak/>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State Bar properly served him with the NDC and made various efforts to locate respondent, including calling him and leaving a message at his membership records telephone number, checking with the Office of Probation for alternative contact information for respondent, and sending an email to respondent at an email address provided by the Office of Probation;</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Loyd Lee Brown, Jr.,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 xml:space="preserve">The court also recommends that respondent be ordered to comply with the requirements of California Rules of Court, rule 9.20, and to perform the acts specified in subdivisions (a) and </w:t>
      </w:r>
      <w:r>
        <w:lastRenderedPageBreak/>
        <w:t>(c)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Loyd Lee Brown, Jr., State Bar number 195240,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October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State Bar learned that the Office of Probation’s last contact with respondent was an email he sent on or around November 15, 2012.  </w:t>
      </w:r>
    </w:p>
  </w:footnote>
  <w:footnote w:id="4">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3eNKhkjFQyxF6Le7t8YE3uswaOk=" w:salt="QEvko4r3vfdZwM+OpoQwig=="/>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2014-10-30T23:00:00Z</dcterms:created>
  <dcterms:modified xsi:type="dcterms:W3CDTF">2014-10-30T23:00:00Z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