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JANUARY 23,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HAIG PARSEH ASHIKIAN,</w:t>
            </w:r>
          </w:p>
          <w:p>
            <w:pPr>
              <w:rPr>
                <w:b/>
                <w:bCs/>
              </w:rPr>
            </w:pPr>
          </w:p>
          <w:p>
            <w:pPr>
              <w:rPr>
                <w:b/>
                <w:bCs/>
              </w:rPr>
            </w:pPr>
            <w:r>
              <w:rPr>
                <w:b/>
                <w:bCs/>
              </w:rPr>
              <w:t>Member No.  183083,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12-O-11703-RAP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Haig Parseh Ashikian (respondent) was charged with seven counts of misconduct.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June 11, 1996, and has been a member of the State Bar since then.</w:t>
      </w:r>
    </w:p>
    <w:p>
      <w:pPr>
        <w:spacing w:line="480" w:lineRule="auto"/>
        <w:rPr>
          <w:b/>
        </w:rPr>
      </w:pPr>
      <w:r>
        <w:rPr>
          <w:b/>
        </w:rPr>
        <w:t>Procedural Requirements Have Been Satisfied</w:t>
      </w:r>
    </w:p>
    <w:p>
      <w:pPr>
        <w:spacing w:line="480" w:lineRule="auto"/>
        <w:ind w:firstLine="720"/>
      </w:pPr>
      <w:r>
        <w:t>On April 19, 2013, the State Bar filed and properly served the notice of disciplinary charges (NDC) in this matter on respondent by certified mail, return receipt requested, to his membership records address.  On May 9, 2013, respondent filed his response to the NDC.</w:t>
      </w:r>
    </w:p>
    <w:p>
      <w:pPr>
        <w:spacing w:line="480" w:lineRule="auto"/>
        <w:ind w:firstLine="720"/>
      </w:pPr>
      <w:r>
        <w:t>By order filed on May 31, 2013, trial was set to commence on August 22, 2013, at 9:30 a.m., for two days.  The order setting the trial date was served on respondent at his membership records address by first-class mail, postage paid, on May 31, 2013.  (Rule 5.81(A).)</w:t>
      </w:r>
    </w:p>
    <w:p>
      <w:pPr>
        <w:spacing w:line="480" w:lineRule="auto"/>
        <w:ind w:firstLine="720"/>
      </w:pPr>
      <w:r>
        <w:t xml:space="preserve">The State Bar appeared for trial on August 22, 2013, but respondent did not.  </w:t>
      </w:r>
    </w:p>
    <w:p>
      <w:pPr>
        <w:spacing w:line="480" w:lineRule="auto"/>
        <w:ind w:firstLine="720"/>
      </w:pPr>
      <w:r>
        <w:t>Finding that all of the requirements of rule 5.81(A) were satisfied, the court entered respondent’s default by order filed on August 22, 2013.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and he has remained inactively enrolled since that time.</w:t>
      </w:r>
      <w:r>
        <w:rPr>
          <w:rStyle w:val="FootnoteReference"/>
        </w:rPr>
        <w:footnoteReference w:id="3"/>
      </w:r>
    </w:p>
    <w:p>
      <w:pPr>
        <w:spacing w:line="480" w:lineRule="auto"/>
        <w:ind w:firstLine="720"/>
      </w:pPr>
      <w:r>
        <w:t xml:space="preserve">On August 26, 2013, respondent filed a motion to set aside his default.  (Rule 5.83(C)(2) [attorney has 90 days after order entering default is served to file motion to set aside default].)  </w:t>
      </w:r>
      <w:r>
        <w:lastRenderedPageBreak/>
        <w:t>On September 6, 2013, the State Bar filed an opposition to respondent’s motion to set aside the default.  On October 1, 2013, finding no good cause, the court denied respondent’s motion to set aside the default.</w:t>
      </w:r>
    </w:p>
    <w:p>
      <w:pPr>
        <w:spacing w:line="480" w:lineRule="auto"/>
        <w:ind w:firstLine="720"/>
      </w:pPr>
      <w:r>
        <w:t xml:space="preserve">On November 27, 2013, the State Bar filed and properly served the petition for disbarment.  As required by rule 5.85(A), the State Bar reported in the petition that: </w:t>
      </w:r>
    </w:p>
    <w:p>
      <w:pPr>
        <w:spacing w:line="480" w:lineRule="auto"/>
      </w:pPr>
      <w:r>
        <w:t>(1) respondent has not contacted the State Bar since August 22, 2013, the date his default was entered and the order entering his default was served, other than by a telephone call on September 17, 2013, and by email on October 23, 2013;</w:t>
      </w:r>
      <w:r>
        <w:rPr>
          <w:rStyle w:val="FootnoteReference"/>
        </w:rPr>
        <w:footnoteReference w:id="4"/>
      </w:r>
      <w:r>
        <w:t xml:space="preserve"> (2) there are four investigations pending against respondent; (3) respondent has one prior record of discipline; and (4) the Client Security Fund has not made any payments as a result of respondent’s conduct.  Respondent has not responded to the petition for disbarment.  The case was submitted for decision on January 7, 2014.  </w:t>
      </w:r>
    </w:p>
    <w:p>
      <w:pPr>
        <w:spacing w:line="480" w:lineRule="auto"/>
        <w:ind w:firstLine="720"/>
      </w:pPr>
      <w:r>
        <w:t>Respondent has been disciplined on one prior occasion.</w:t>
      </w:r>
      <w:r>
        <w:rPr>
          <w:rStyle w:val="FootnoteReference"/>
        </w:rPr>
        <w:footnoteReference w:id="5"/>
      </w:r>
      <w:r>
        <w:t xml:space="preserve">  Pursuant to a Supreme Court order filed on September 10, 2008, respondent was suspended for two years, the execution of which was stayed, and he was placed on probation for two years subject to conditions, including a 90-day actual suspension.  Respondent stipulated in the prior disciplinary matter to culpability and discipline for failing to respond promptly to reasonable client status inquiries; failing to keep a client reasonably informed of significant developments in a matter in which respondent had agreed to provide legal services; failing to maintain client funds in trust; committing acts </w:t>
      </w:r>
      <w:r>
        <w:lastRenderedPageBreak/>
        <w:t>involving moral turpitude, dishonesty or corruption; and failing to promptly notify a client of the receipt of client funds.</w:t>
      </w:r>
    </w:p>
    <w:p>
      <w:pPr>
        <w:rPr>
          <w:b/>
        </w:rPr>
      </w:pPr>
      <w:r>
        <w:rPr>
          <w:b/>
        </w:rPr>
        <w:t>The Admitted Factual Allegations Warrant the Imposition of Discipline</w:t>
      </w:r>
    </w:p>
    <w:p>
      <w:pPr>
        <w:ind w:firstLine="720"/>
        <w:rPr>
          <w:b/>
        </w:rPr>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12-O-11703</w:t>
      </w:r>
    </w:p>
    <w:p>
      <w:pPr>
        <w:spacing w:line="480" w:lineRule="auto"/>
      </w:pPr>
      <w:r>
        <w:rPr>
          <w:b/>
        </w:rPr>
        <w:tab/>
      </w:r>
      <w:r>
        <w:t>Count One - Respondent willfully violated rule 4-100(A) of the Rules of Professional Conduct (failure to maintain client funds in trust account), by failing to maintain at least $206,800 of the settlement funds received by him for the benefit of his client and deposited in his client trust account.</w:t>
      </w:r>
    </w:p>
    <w:p>
      <w:pPr>
        <w:spacing w:line="480" w:lineRule="auto"/>
        <w:ind w:firstLine="720"/>
      </w:pPr>
      <w:r>
        <w:t>Count Two - Respondent willfully violated section 6106 of the Business and Professions Code</w:t>
      </w:r>
      <w:r>
        <w:rPr>
          <w:rStyle w:val="FootnoteReference"/>
        </w:rPr>
        <w:footnoteReference w:id="6"/>
      </w:r>
      <w:r>
        <w:t xml:space="preserve"> (commission of act of moral turpitude, dishonesty or corruption), by misappropriating at least $206,800 of the client’s settlement funds.</w:t>
      </w:r>
    </w:p>
    <w:p>
      <w:pPr>
        <w:spacing w:line="480" w:lineRule="auto"/>
      </w:pPr>
      <w:r>
        <w:tab/>
        <w:t>Count Three - Respondent willfully violated rule 4-100(A)(2) of the Rules of Professional Conduct (failure to timely withdraw attorney funds), by failing to withdraw from his client trust account attorney fees at the earliest reasonable time after respondent’s interest to the funds became fixed.</w:t>
      </w:r>
    </w:p>
    <w:p>
      <w:pPr>
        <w:spacing w:line="480" w:lineRule="auto"/>
        <w:ind w:firstLine="720"/>
      </w:pPr>
      <w:r>
        <w:t>Count Four - Respondent willfully violated rule 4-100(B)(3) of the Rules of Professional Conduct (failure to render appropriate accounts), by failing to provide an itemized settlement breakdown evidencing the distribution of the client’s $412,500 in settlement funds.</w:t>
      </w:r>
    </w:p>
    <w:p>
      <w:pPr>
        <w:spacing w:line="480" w:lineRule="auto"/>
        <w:ind w:firstLine="720"/>
      </w:pPr>
      <w:r>
        <w:lastRenderedPageBreak/>
        <w:t>Count Five - Respondent willfully violated rule 3-110(A) of the Rules of Professional Conduct (failure to perform legal services with competence), by failing to negotiate and deposit the settlement draft into a blocked account on behalf of a minor client.</w:t>
      </w:r>
    </w:p>
    <w:p>
      <w:pPr>
        <w:spacing w:line="480" w:lineRule="auto"/>
        <w:ind w:firstLine="720"/>
      </w:pPr>
      <w:r>
        <w:t>Count Six - Respondent willfully violated section 6103 (failure to obey a court order), by failing to negotiate and deposit into a blocked account the settlement draft intended to satisfy the minor client’s claim as ordered by the court.</w:t>
      </w:r>
    </w:p>
    <w:p>
      <w:pPr>
        <w:spacing w:line="480" w:lineRule="auto"/>
        <w:ind w:firstLine="720"/>
      </w:pPr>
      <w:r>
        <w:t>Count Seven - Respondent willfully violated section 6068, subdivision (i) (failure to cooperate in a State Bar investigation), by failing to provide a substantive response to the allegations raised in a client’s complaint as requested by the State Bar in two letters.</w:t>
      </w:r>
    </w:p>
    <w:p>
      <w:pPr>
        <w:spacing w:line="480" w:lineRule="auto"/>
        <w:rPr>
          <w:b/>
        </w:rPr>
      </w:pPr>
      <w:r>
        <w:rPr>
          <w:b/>
        </w:rPr>
        <w:t>Disbarment is Recommended</w:t>
      </w:r>
    </w:p>
    <w:p>
      <w:pPr>
        <w:spacing w:line="480" w:lineRule="auto"/>
      </w:pPr>
      <w:r>
        <w:tab/>
        <w:t xml:space="preserve">Based on the above, the court concludes that the requirements of rule 5.85(E) have been satisfied and respondent’s disbarment is recommended.  In particular:  </w:t>
      </w:r>
    </w:p>
    <w:p>
      <w:pPr>
        <w:spacing w:line="480" w:lineRule="auto"/>
      </w:pPr>
      <w:r>
        <w:tab/>
        <w:t xml:space="preserve">(1) the NDC was properly served on respondent under rule 5.25; </w:t>
      </w:r>
    </w:p>
    <w:p>
      <w:pPr>
        <w:spacing w:line="480" w:lineRule="auto"/>
      </w:pPr>
      <w:r>
        <w:tab/>
        <w:t>(2) respondent had actual notice of this proceeding and adequate notice of the trial date prior to entry of the default;</w:t>
      </w:r>
    </w:p>
    <w:p>
      <w:pPr>
        <w:spacing w:line="480" w:lineRule="auto"/>
        <w:ind w:firstLine="720"/>
      </w:pPr>
      <w:r>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Despite adequate notice and opportunity, respondent failed to appear for the trial of this disciplinary proceeding and failed to have the default entered against him on August 22, 2013, be set aside or vacated.  As set forth in the Rules of Procedure of the State Bar, the court recommends disbarment.</w:t>
      </w:r>
    </w:p>
    <w:p>
      <w:pPr>
        <w:spacing w:line="480" w:lineRule="auto"/>
      </w:pPr>
      <w:r>
        <w:t>//</w:t>
      </w:r>
    </w:p>
    <w:p>
      <w:pPr>
        <w:spacing w:line="480" w:lineRule="auto"/>
        <w:jc w:val="center"/>
        <w:rPr>
          <w:b/>
        </w:rPr>
      </w:pPr>
      <w:r>
        <w:rPr>
          <w:b/>
        </w:rPr>
        <w:lastRenderedPageBreak/>
        <w:t>RECOMMENDATION</w:t>
      </w:r>
    </w:p>
    <w:p>
      <w:pPr>
        <w:spacing w:line="480" w:lineRule="auto"/>
        <w:rPr>
          <w:b/>
        </w:rPr>
      </w:pPr>
      <w:r>
        <w:rPr>
          <w:b/>
        </w:rPr>
        <w:t>Disbarment</w:t>
      </w:r>
    </w:p>
    <w:p>
      <w:pPr>
        <w:spacing w:line="480" w:lineRule="auto"/>
        <w:ind w:firstLine="720"/>
      </w:pPr>
      <w:r>
        <w:t>The court recommends that respondent Haig Parseh Ashikian be disbarred from the practice of law in the State of California and that his name be stricken from the roll of attorneys.</w:t>
      </w:r>
    </w:p>
    <w:p>
      <w:pPr>
        <w:spacing w:line="480" w:lineRule="auto"/>
      </w:pPr>
      <w:r>
        <w:rPr>
          <w:b/>
        </w:rPr>
        <w:t>Restitution</w:t>
      </w:r>
    </w:p>
    <w:p>
      <w:pPr>
        <w:spacing w:line="480" w:lineRule="auto"/>
      </w:pPr>
      <w:r>
        <w:t xml:space="preserve">  </w:t>
      </w:r>
      <w:r>
        <w:tab/>
        <w:t xml:space="preserve">The court recommends that respondent be ordered to make restitution to Maryel Jones in the amount of $206,800, plus 10 percent interest per year from January 18, 2008.  </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Haig Parseh Ashikian, State Bar Number 183083, be involuntarily enrolled as </w:t>
      </w:r>
    </w:p>
    <w:p>
      <w:pPr>
        <w:spacing w:line="480" w:lineRule="auto"/>
      </w:pPr>
      <w:r>
        <w:t>//</w:t>
      </w:r>
    </w:p>
    <w:p>
      <w:pPr>
        <w:spacing w:line="480" w:lineRule="auto"/>
      </w:pPr>
      <w:r>
        <w:t>//</w:t>
      </w:r>
    </w:p>
    <w:p>
      <w:pPr>
        <w:spacing w:line="480" w:lineRule="auto"/>
      </w:pPr>
      <w:r>
        <w:lastRenderedPageBreak/>
        <w:t>an inactive member of the State Bar of California, effective three calendar days after the service of this decision and order.  (Rule 5.111(D).)</w:t>
      </w:r>
      <w:r>
        <w:rPr>
          <w:rStyle w:val="FootnoteReference"/>
        </w:rP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January 21,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return receipt for the order entering default served on respondent at his membership records address was returned to the State Bar on August 26, 2013, but the signature was not legible.  </w:t>
      </w:r>
    </w:p>
  </w:footnote>
  <w:footnote w:id="4">
    <w:p>
      <w:pPr>
        <w:pStyle w:val="FootnoteText"/>
      </w:pPr>
      <w:r>
        <w:rPr>
          <w:rStyle w:val="FootnoteReference"/>
        </w:rPr>
        <w:footnoteRef/>
      </w:r>
      <w:r>
        <w:t xml:space="preserve"> The Declaration of Hugh Radigan, filed with the State Bar’s petition for disbarment, stated that he returned respondent’s September 17, 2013, telephone call but was unable to speak to respondent and left a request that respondent return his call.  He also states that the email sent by respondent on October 23, 2013, was forwarded to the appropriate party who discussed respondent’s concerns as set forth in the email.  The email also set forth that respondent wanted to discuss the possibility of resolving this matter.</w:t>
      </w:r>
    </w:p>
  </w:footnote>
  <w:footnote w:id="5">
    <w:p>
      <w:pPr>
        <w:pStyle w:val="FootnoteText"/>
      </w:pPr>
      <w:r>
        <w:rPr>
          <w:rStyle w:val="FootnoteReference"/>
        </w:rPr>
        <w:footnoteRef/>
      </w:r>
      <w:r>
        <w:t xml:space="preserve"> The court takes judicial notice, pursuant to Evidence Code section 452, subdivision (d), that respondent has a prior record of discipline, admits the relevant records into evidence, and directs the Clerk to include copies in the record of this case.  </w:t>
      </w:r>
    </w:p>
  </w:footnote>
  <w:footnote w:id="6">
    <w:p>
      <w:pPr>
        <w:pStyle w:val="FootnoteText"/>
      </w:pPr>
      <w:r>
        <w:rPr>
          <w:rStyle w:val="FootnoteReference"/>
        </w:rPr>
        <w:footnoteRef/>
      </w:r>
      <w:r>
        <w:t xml:space="preserve"> Unless otherwise indicated, all further references to section(s) refer to the provisions of the Business and Professions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CD034E"/>
    <w:multiLevelType w:val="hybridMultilevel"/>
    <w:tmpl w:val="F0EAD488"/>
    <w:lvl w:ilvl="0" w:tplc="E1D8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UNmhLebpjUSLXsOnHY7Xu25kMyE=" w:salt="6jRuK1CpUUvxZkzYkj77mw=="/>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2014-01-28T23:36:00Z</dcterms:created>
  <dcterms:modified xsi:type="dcterms:W3CDTF">2014-01-28T23:38:00Z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