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13,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SCOTT NELSON HARLOW,</w:t>
            </w:r>
          </w:p>
          <w:p>
            <w:pPr>
              <w:rPr>
                <w:b/>
                <w:bCs/>
              </w:rPr>
            </w:pPr>
          </w:p>
          <w:p>
            <w:pPr>
              <w:rPr>
                <w:b/>
                <w:bCs/>
              </w:rPr>
            </w:pPr>
            <w:r>
              <w:rPr>
                <w:b/>
                <w:bCs/>
              </w:rPr>
              <w:t>Member No. 107024,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12-O-12820-RAH</w:t>
            </w:r>
          </w:p>
          <w:p>
            <w:pPr>
              <w:rPr>
                <w:b/>
                <w:bCs/>
              </w:rPr>
            </w:pPr>
            <w:r>
              <w:rPr>
                <w:b/>
                <w:bCs/>
              </w:rPr>
              <w:t>(12-O-13118; 12-O-14327</w:t>
            </w:r>
          </w:p>
          <w:p>
            <w:pPr>
              <w:rPr>
                <w:b/>
                <w:bCs/>
              </w:rPr>
            </w:pPr>
            <w:r>
              <w:rPr>
                <w:b/>
                <w:bCs/>
              </w:rPr>
              <w:t>12-O-15779); 12-N-17468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Respondent Scott Nelson Harlow (respondent) was charged with 21 counts of misconduct</w:t>
      </w:r>
      <w:r>
        <w:rPr>
          <w:rStyle w:val="FootnoteReference"/>
        </w:rPr>
        <w:footnoteReference w:id="1"/>
      </w:r>
      <w:r>
        <w:t xml:space="preserve"> and with willfully violating California Rules of Court, rule 9.20, by willfully disobeying or violating a court order requiring compliance with rule 9.20.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rPr>
          <w:b/>
        </w:rPr>
      </w:pPr>
      <w:r>
        <w:tab/>
        <w:t xml:space="preserve">Rule 5.85 provides the procedure to follow when an attorney fails to participate in a disciplinary proceeding after receiving adequate notice and opportunity to be heard.  The rule provides that if an attorney’s default is entered for failing to respond to the notice of disciplinary </w:t>
      </w:r>
      <w:r>
        <w:lastRenderedPageBreak/>
        <w:t>charges (NDC), and the attorney fails to have the default set aside or vacated within 180 days, the State Bar will file a petition requesting the court to recommend the attorney’s disbarment.</w:t>
      </w:r>
      <w:r>
        <w:rPr>
          <w:rStyle w:val="FootnoteReference"/>
        </w:rPr>
        <w:footnoteReference w:id="3"/>
      </w:r>
      <w:r>
        <w:rPr>
          <w:b/>
        </w:rP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7, 1982, and has been a member since then.</w:t>
      </w:r>
    </w:p>
    <w:p>
      <w:pPr>
        <w:spacing w:line="480" w:lineRule="auto"/>
        <w:rPr>
          <w:b/>
        </w:rPr>
      </w:pPr>
      <w:r>
        <w:rPr>
          <w:b/>
        </w:rPr>
        <w:t>Procedural Requirements Have Been Satisfied</w:t>
      </w:r>
    </w:p>
    <w:p>
      <w:pPr>
        <w:spacing w:line="480" w:lineRule="auto"/>
      </w:pPr>
      <w:r>
        <w:rPr>
          <w:b/>
        </w:rPr>
        <w:tab/>
      </w:r>
      <w:r>
        <w:t xml:space="preserve">On April 15, 2013, the State Bar filed and properly served the NDC on respondent by certified mail, return receipt requested, at his membership records address.  The NDC notified respondent that his failure to participate in the proceeding would result in a disbarment recommendation.  (Rule 5.41.)  The State Bar received a return receipt signed by “Bonnie Kramer” on April 17, 2013.  </w:t>
      </w:r>
    </w:p>
    <w:p>
      <w:pPr>
        <w:spacing w:line="480" w:lineRule="auto"/>
        <w:ind w:firstLine="720"/>
      </w:pPr>
      <w:r>
        <w:t>Thereafter, the State Bar attempted to notify respondent of these proceedings by</w:t>
      </w:r>
    </w:p>
    <w:p>
      <w:pPr>
        <w:spacing w:line="480" w:lineRule="auto"/>
      </w:pPr>
      <w:r>
        <w:t>(1) sending the NDC to respondent to four potential addresses for him discovered by conducting an internet search.</w:t>
      </w:r>
      <w:r>
        <w:rPr>
          <w:rStyle w:val="FootnoteReference"/>
        </w:rPr>
        <w:footnoteReference w:id="4"/>
      </w:r>
      <w:r>
        <w:t xml:space="preserve">  None of the correspondence was returned; and (2) sending an email, which attached the NDC, to an email address for respondent maintained by membership records, notifying respondent that a NDC had been filed against him in State Bar Court.</w:t>
      </w:r>
      <w:r>
        <w:rPr>
          <w:rStyle w:val="FootnoteReference"/>
        </w:rPr>
        <w:footnoteReference w:id="5"/>
      </w:r>
      <w:r>
        <w:t xml:space="preserve"> </w:t>
      </w:r>
    </w:p>
    <w:p>
      <w:pPr>
        <w:spacing w:line="480" w:lineRule="auto"/>
      </w:pPr>
      <w:r>
        <w:lastRenderedPageBreak/>
        <w:tab/>
        <w:t>On May 22, 2013, respondent answered the State Bar’s May 20, 2013 email stating, among other things, that he would file a response to the NDC on May 24, 2013.</w:t>
      </w:r>
    </w:p>
    <w:p>
      <w:pPr>
        <w:spacing w:line="480" w:lineRule="auto"/>
        <w:ind w:firstLine="720"/>
      </w:pPr>
      <w:r>
        <w:t>Respondent failed to file a response to the NDC.  On June 14, 2014, the State Bar filed and properly served a motion for entry of default on respondent by certified mail, return receipt requested, to his membership records address and by regular first-class mail to respondent’s prior membership records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July 2, 2013.  The order entering the default was properly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February 7, 2014, the State Bar filed and properly served the petition for disbarment on respondent by certified mail, return receipt requested, at his membership records address.  As required by rule 5.85(A), the State Bar reported in the petition that:  (1) as of February 7, 2014, respondent has not contacted the State Bar since July 2, 2013, the date the order entering his default was filed and served; (2) there are five disciplinary investigations pending against respondent; (3) respondent has a record of prior discipline; and (4) the Client Security Fund has made a payment resulting from respondent’s conduct and has one additional payment pending against respondent.  Respondent did not </w:t>
      </w:r>
      <w:r>
        <w:lastRenderedPageBreak/>
        <w:t>respond to the petition for disbarment or move to set aside or vacate the default.  The case was submitted for decision on March 5, 2013.</w:t>
      </w:r>
    </w:p>
    <w:p>
      <w:pPr>
        <w:spacing w:line="480" w:lineRule="auto"/>
      </w:pPr>
      <w:r>
        <w:tab/>
        <w:t>Respondent has a prior record of discipline.</w:t>
      </w:r>
      <w:r>
        <w:rPr>
          <w:rStyle w:val="FootnoteReference"/>
        </w:rPr>
        <w:footnoteReference w:id="6"/>
      </w:r>
      <w:r>
        <w:t xml:space="preserve">  Pursuant to a Supreme Court order filed on July 27, 2012, respondent was suspended for two years, the execution of which was stayed, and he was placed on probation for three years on conditions including that he be suspended for the first one year of probation.  Respondent participated in this prior disciplinary matter.  The court found that respondent made false statements to his clients; failed to perform legal services with competence or release a client’s file; and failed to return unearned fees in willful violation of section 6106 and rules 3-110(A) and 3-700(D)(1)and (2) of the Rules of Professional Conduct.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Number 12-O-12820</w:t>
      </w:r>
    </w:p>
    <w:p>
      <w:pPr>
        <w:spacing w:line="480" w:lineRule="auto"/>
      </w:pPr>
      <w:r>
        <w:rPr>
          <w:b/>
        </w:rPr>
        <w:tab/>
      </w:r>
      <w:r>
        <w:t>Count One – Respondent willfully violated rule 3-110(A) of the Rules of Professional Conduct (failure to perform legal services with competence) by failing to prosecute a client matter and allowing it to be dismissed for failure to prosecute.</w:t>
      </w:r>
    </w:p>
    <w:p>
      <w:pPr>
        <w:spacing w:line="480" w:lineRule="auto"/>
      </w:pPr>
      <w:r>
        <w:tab/>
        <w:t>Count Two – Respondent willfully violated section 6106 (moral turpitude – misrepresentation) by knowingly, or with gross negligence, making false statements to a client and by creating, or causing to be created, a purported right to attach order and order for issuance</w:t>
      </w:r>
    </w:p>
    <w:p>
      <w:pPr>
        <w:spacing w:line="480" w:lineRule="auto"/>
      </w:pPr>
      <w:r>
        <w:lastRenderedPageBreak/>
        <w:t>of writ of attachment and presenting it to the client as genuine.</w:t>
      </w:r>
    </w:p>
    <w:p>
      <w:pPr>
        <w:spacing w:line="480" w:lineRule="auto"/>
      </w:pPr>
      <w:r>
        <w:tab/>
        <w:t>Count Three – Respondent willfully violated section 6068, subdivision (m) (failure to inform client of significant developments) by not informing the client that his matters had been dismissed by the court.</w:t>
      </w:r>
    </w:p>
    <w:p>
      <w:pPr>
        <w:spacing w:line="480" w:lineRule="auto"/>
        <w:ind w:firstLine="720"/>
      </w:pPr>
      <w:r>
        <w:t>Count Four – Respondent willfully violated rule 3-700(D)(2) of the Rules of Professional Conduct (failure to refund unearned fees) by not refunding any portion of the $3,500 in advanced unearned attorney fees paid by the client.</w:t>
      </w:r>
    </w:p>
    <w:p>
      <w:pPr>
        <w:spacing w:line="480" w:lineRule="auto"/>
        <w:ind w:firstLine="720"/>
      </w:pPr>
      <w:r>
        <w:t>Count Five – Respondent willfully violated section 6068, subdivision (i) (failure to cooperate in a State Bar investigation) by failing to respond to the allegations of misconduct as requested by the State Bar in two letters.</w:t>
      </w:r>
    </w:p>
    <w:p>
      <w:pPr>
        <w:spacing w:line="480" w:lineRule="auto"/>
        <w:ind w:firstLine="720"/>
      </w:pPr>
      <w:r>
        <w:rPr>
          <w:b/>
        </w:rPr>
        <w:t>Case Number 12-O-13118</w:t>
      </w:r>
    </w:p>
    <w:p>
      <w:pPr>
        <w:spacing w:line="480" w:lineRule="auto"/>
        <w:ind w:firstLine="720"/>
      </w:pPr>
      <w:r>
        <w:t>Count Six – Respondent willfully violated rule 3-700(D)(2) of the Rules of Professional Conduct (failure to refund unearned fees) by not refunding any portion of the $650 in advanced unearned attorney fees paid by the client.</w:t>
      </w:r>
    </w:p>
    <w:p>
      <w:pPr>
        <w:spacing w:line="480" w:lineRule="auto"/>
        <w:ind w:firstLine="720"/>
      </w:pPr>
      <w:r>
        <w:t>Count Seven – Respondent willfully violated section 6068, subdivision (i) (failure to cooperate in a State Bar investigation) by failing to respond to the allegations of misconduct as requested by the State Bar in two letters.</w:t>
      </w:r>
    </w:p>
    <w:p>
      <w:pPr>
        <w:spacing w:line="480" w:lineRule="auto"/>
        <w:ind w:firstLine="720"/>
      </w:pPr>
      <w:r>
        <w:rPr>
          <w:b/>
        </w:rPr>
        <w:t>Case Number 12-O-14327</w:t>
      </w:r>
    </w:p>
    <w:p>
      <w:pPr>
        <w:spacing w:line="480" w:lineRule="auto"/>
        <w:ind w:firstLine="720"/>
      </w:pPr>
      <w:r>
        <w:t>Count Eight – Respondent willfully violated section 6106 (moral turpitude – misrepresentation) by knowingly making false statements to a client, and by creating the purported writ of execution and abstract of judgment.</w:t>
      </w:r>
    </w:p>
    <w:p>
      <w:pPr>
        <w:spacing w:line="480" w:lineRule="auto"/>
        <w:ind w:firstLine="720"/>
      </w:pPr>
      <w:r>
        <w:t xml:space="preserve">Count Nine – Respondent willfully violated rule 3-110(A) of the Rules of Professional Conduct (failure to perform legal services with competence) by failing to file with the court the order granting the motion for judgment on the pleadings and the judgment for the judge’s </w:t>
      </w:r>
      <w:r>
        <w:lastRenderedPageBreak/>
        <w:t>signature until April 9, 2009, and by failing to provide any legal services of value after April 9, 2009.</w:t>
      </w:r>
    </w:p>
    <w:p>
      <w:pPr>
        <w:spacing w:line="480" w:lineRule="auto"/>
        <w:ind w:firstLine="720"/>
      </w:pPr>
      <w:r>
        <w:t xml:space="preserve">Count 10 – Respondent willfully violated section 6068, subdivision (m) (failure to respond to client inquiries), by failing to respond to a client’s requests for a status update of her case. </w:t>
      </w:r>
    </w:p>
    <w:p>
      <w:pPr>
        <w:spacing w:line="480" w:lineRule="auto"/>
        <w:ind w:firstLine="720"/>
      </w:pPr>
      <w:r>
        <w:t>Count 11 – Respondent willfully violated rule 3-700(D)(2) of the Rules of Professional Conduct (failure to refund unearned fees) by not refunding any portion of the $1,500 in advanced unearned attorney fees paid by the client.</w:t>
      </w:r>
    </w:p>
    <w:p>
      <w:pPr>
        <w:spacing w:line="480" w:lineRule="auto"/>
        <w:ind w:firstLine="720"/>
      </w:pPr>
      <w:r>
        <w:t>Count 12 – Respondent willfully violated section 6068, subdivision (i) (failure to cooperate in a State Bar investigation), by failing to respond to the allegations of misconduct as requested by the State Bar in two letters.</w:t>
      </w:r>
    </w:p>
    <w:p>
      <w:pPr>
        <w:spacing w:line="480" w:lineRule="auto"/>
        <w:ind w:firstLine="720"/>
      </w:pPr>
      <w:r>
        <w:rPr>
          <w:b/>
        </w:rPr>
        <w:t>Case Number 12-O-15779</w:t>
      </w:r>
    </w:p>
    <w:p>
      <w:pPr>
        <w:spacing w:line="480" w:lineRule="auto"/>
        <w:ind w:firstLine="720"/>
      </w:pPr>
      <w:r>
        <w:t>Count 13 – Respondent willfully violated section 6106 (moral turpitude) by forging, or causing to be forged, the signature of the appointed referee on the final inventory and appraisal.</w:t>
      </w:r>
    </w:p>
    <w:p>
      <w:pPr>
        <w:spacing w:line="480" w:lineRule="auto"/>
        <w:ind w:firstLine="720"/>
      </w:pPr>
      <w:r>
        <w:t>Count 14 – Respondent willfully violated section 6106 (moral turpitude) by fabricating and recording, or causing to be fabricated or recorded, false letters of administration.</w:t>
      </w:r>
    </w:p>
    <w:p>
      <w:pPr>
        <w:spacing w:line="480" w:lineRule="auto"/>
        <w:ind w:firstLine="720"/>
      </w:pPr>
      <w:r>
        <w:t>Count 15 – Respondent willfully violated section 6106 (moral turpitude) by assisting the decedent’s cousin in improperly withdrawing all of the estate’s assets.</w:t>
      </w:r>
    </w:p>
    <w:p>
      <w:pPr>
        <w:spacing w:line="480" w:lineRule="auto"/>
        <w:ind w:firstLine="720"/>
      </w:pPr>
      <w:r>
        <w:t>Count 16 – Respondent willfully violated section 6106 (moral turpitude) by forging, or causing to be forged, the signature of the appointed referee, fabricating the final inventory and appraisal.</w:t>
      </w:r>
    </w:p>
    <w:p>
      <w:pPr>
        <w:spacing w:line="480" w:lineRule="auto"/>
        <w:ind w:firstLine="720"/>
      </w:pPr>
      <w:r>
        <w:t>Count 17 – Respondent willfully violated section 6106 (moral turpitude) by misrepresenting to his client that he had filed a petition, and fabricating, or causing to be fabricated, the letters testamentary.</w:t>
      </w:r>
    </w:p>
    <w:p>
      <w:pPr>
        <w:spacing w:line="480" w:lineRule="auto"/>
        <w:ind w:firstLine="720"/>
      </w:pPr>
      <w:r>
        <w:lastRenderedPageBreak/>
        <w:t>Count 18 – Respondent willfully violated section 6106 (moral turpitude) by misappropriating $605 in client funds.</w:t>
      </w:r>
    </w:p>
    <w:p>
      <w:pPr>
        <w:spacing w:line="480" w:lineRule="auto"/>
        <w:ind w:firstLine="720"/>
      </w:pPr>
      <w:r>
        <w:t>Count 19 – Respondent willfully violated rule 3-700(D)(2) of the Rules of Professional Conduct (failure to refund unearned fees) by not refunding any portion of the $1,400 in advanced unearned attorney fees paid by the client.</w:t>
      </w:r>
    </w:p>
    <w:p>
      <w:pPr>
        <w:spacing w:line="480" w:lineRule="auto"/>
        <w:ind w:firstLine="720"/>
      </w:pPr>
      <w:r>
        <w:t>Count 20– Respondent willfully violated section 6068, subdivision (i) (failure to cooperate in a State Bar investigation), by failing to respond to the allegations of misconduct as requested by the State Bar in two letters.</w:t>
      </w:r>
    </w:p>
    <w:p>
      <w:pPr>
        <w:spacing w:line="480" w:lineRule="auto"/>
        <w:rPr>
          <w:b/>
        </w:rPr>
      </w:pPr>
      <w:r>
        <w:rPr>
          <w:b/>
        </w:rPr>
        <w:tab/>
        <w:t>Case Number 12-N-17468 (Rule 9.20 Matter)</w:t>
      </w:r>
    </w:p>
    <w:p>
      <w:pPr>
        <w:spacing w:line="480" w:lineRule="auto"/>
      </w:pPr>
      <w:r>
        <w:rPr>
          <w:b/>
        </w:rPr>
        <w:tab/>
      </w:r>
      <w:r>
        <w:t xml:space="preserve">Respondent willfully violated California Rules of Court, rule 9.20 (duties of disbarred, resigned or suspended attorneys), by not filing a declaration of compliance with rule 9.20 in conformity with the requirements of rule 9.20(c), thereby failing to timely comply with the provisions of the Supreme Court’s July 27, 2012 order requiring compliance with California Rules of Court, rule 9.20.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pPr>
      <w:r>
        <w:rPr>
          <w:b/>
        </w:rPr>
        <w:tab/>
      </w:r>
      <w:r>
        <w:t>(2) reasonable diligence was used to notify respondent of the proceedings prior to the entry of his default, as the State Bar (1)</w:t>
      </w:r>
      <w:r>
        <w:rPr>
          <w:b/>
        </w:rPr>
        <w:t xml:space="preserve"> </w:t>
      </w:r>
      <w:r>
        <w:t xml:space="preserve">filed and properly served the NDC on respondent by certified mail, return receipt requested, at his membership records address; (2) sent the NDC to respondent by regular, first-class mail to his prior membership records address; (2) attempted to locate respondent’s membership records telephone number; (3) sent an email, which attached the NDC, to an email address for respondent maintained by membership records; and (4) sent the </w:t>
      </w:r>
      <w:r>
        <w:lastRenderedPageBreak/>
        <w:t>NDC to respondent by regular, first-class mail to his membership records address and to four other addresses indentified in an on-line search report;</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Scott Nelson Harlow be disbarred from the practice of law in the State of California and that his name be stricken from the roll of attorneys.</w:t>
      </w:r>
    </w:p>
    <w:p>
      <w:pPr>
        <w:spacing w:line="480" w:lineRule="auto"/>
      </w:pPr>
      <w:r>
        <w:rPr>
          <w:b/>
        </w:rPr>
        <w:t>Restitution</w:t>
      </w:r>
    </w:p>
    <w:p>
      <w:pPr>
        <w:spacing w:line="480" w:lineRule="auto"/>
      </w:pPr>
      <w:r>
        <w:t xml:space="preserve">  </w:t>
      </w:r>
      <w:r>
        <w:tab/>
        <w:t>The court recommends that respondent be ordered to make restitution to:</w:t>
      </w:r>
    </w:p>
    <w:p>
      <w:r>
        <w:t>(1)  Edward Masucci in the amount of $3,500.00 , plus 10 percent interest per year from December 4, 2008;</w:t>
      </w:r>
    </w:p>
    <w:p/>
    <w:p>
      <w:r>
        <w:t>(2)  Kim Bailey in the amount of $650.00 , plus 10 percent interest per year from November 4, 2010;</w:t>
      </w:r>
    </w:p>
    <w:p/>
    <w:p>
      <w:r>
        <w:t>(3)  Robin Lohr in the amount of $1,500.00 , plus 10 percent interest per year from March 1, 2007;</w:t>
      </w:r>
    </w:p>
    <w:p/>
    <w:p>
      <w:r>
        <w:t>(4)  Barbara Donaldson in the amount of $605.00 , plus 10 percent interest per year from December 2, 2010; and</w:t>
      </w:r>
    </w:p>
    <w:p/>
    <w:p>
      <w:r>
        <w:t>(5)  Barbara Donaldson  in the amount of $1,400.00 , plus 10 percent interest per year from December 2, 2010.</w:t>
      </w:r>
    </w:p>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lastRenderedPageBreak/>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Scott Nelson Harlow, State Bar number 228124,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June _____, 2014</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notice of disciplinary charges indicates that it has 22 counts, but there is no count 21.</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Two of these addresses were respondent’s membership records address.</w:t>
      </w:r>
    </w:p>
  </w:footnote>
  <w:footnote w:id="5">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p>
      <w:pPr>
        <w:pStyle w:val="FootnoteText"/>
      </w:pPr>
    </w:p>
  </w:footnote>
  <w:footnote w:id="6">
    <w:p>
      <w:pPr>
        <w:pStyle w:val="FootnoteText"/>
      </w:pPr>
      <w:r>
        <w:rPr>
          <w:rStyle w:val="FootnoteReference"/>
        </w:rPr>
        <w:footnoteRef/>
      </w:r>
      <w:r>
        <w:t xml:space="preserve"> The court takes judicial notice of the relevant State Bar Court records regarding this prior discipline, admits them into evidence and directs the clerk to include copies in the record of this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s3LnqE/vn2N3qmTmmIPZMAeC/lQ=" w:salt="SiaHpjjEieUa2/n6//IH+g=="/>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2258</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2014-06-06T23:38:00Z</dcterms:created>
  <dcterms:modified xsi:type="dcterms:W3CDTF">2014-06-06T23:39:00Z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