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16, 2013</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SEAN CURTIS HICKEY,</w:t>
            </w:r>
          </w:p>
          <w:p>
            <w:pPr>
              <w:rPr>
                <w:b/>
                <w:bCs/>
              </w:rPr>
            </w:pPr>
          </w:p>
          <w:p>
            <w:pPr>
              <w:rPr>
                <w:b/>
                <w:bCs/>
              </w:rPr>
            </w:pPr>
            <w:r>
              <w:rPr>
                <w:b/>
                <w:bCs/>
              </w:rPr>
              <w:t>Member No.  159116,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12-O-13891-LMA</w:t>
            </w:r>
          </w:p>
          <w:p>
            <w:pPr>
              <w:rPr>
                <w:bCs/>
              </w:rPr>
            </w:pPr>
            <w:r>
              <w:rPr>
                <w:bCs/>
              </w:rPr>
              <w:t>(12-O-13892)</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Sean Curtis Hickey (respondent) was charged with two counts of misconduct stemming from two separate disciplinary probation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8, 1992, and has been a member since then.  </w:t>
      </w:r>
    </w:p>
    <w:p>
      <w:pPr>
        <w:spacing w:line="480" w:lineRule="auto"/>
        <w:rPr>
          <w:b/>
        </w:rPr>
      </w:pPr>
      <w:r>
        <w:rPr>
          <w:b/>
        </w:rPr>
        <w:t>Procedural Requirements Have Been Satisfied</w:t>
      </w:r>
    </w:p>
    <w:p>
      <w:pPr>
        <w:spacing w:line="480" w:lineRule="auto"/>
        <w:ind w:firstLine="720"/>
      </w:pPr>
      <w:r>
        <w:t xml:space="preserve">On August 31, 2012, the State Bar properly filed and served an NDC on respondent by certified mail, return receipt requested, at his membership records address.  The NDC notified respondent that his failure to participate in the proceeding would result in a disbarment recommendation. (Rule 5.41.)  On September 7, 2012, a return card was received by the State Bar, signed by respondent.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at his membership records telephone number, calling him at a cell phone number he had previously provided to the State Bar, sending an email to him at the email address listed in his membership records, and sending him a facsimile at the fax number listed in his membership records.  </w:t>
      </w:r>
    </w:p>
    <w:p>
      <w:pPr>
        <w:spacing w:line="480" w:lineRule="auto"/>
        <w:ind w:firstLine="720"/>
      </w:pPr>
      <w:r>
        <w:t xml:space="preserve">Respondent failed to file a response to the NDC.  On October 25, 2012,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w:t>
      </w:r>
      <w:r>
        <w:lastRenderedPageBreak/>
        <w:t>motion, and his default was entered on November 13,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July 1, 2013, the State Bar filed the petition for disbarment.  As required by rule 5.85(A), the State Bar reported in the petition that:  (1) it has had no contact with respondent since the default was entered; (2) respondent has one other disciplinary matter pending; (3) respondent has three prior records of discipline; and (4) the Client Security Fund had a pending claim against respondent, however, no payments resulting from respondent’s conduct have been made.  Respondent did not respond to the petition for disbarment or move to set aside or vacate the default.  The case was submitted for decision on July 29, 2013.  </w:t>
      </w:r>
    </w:p>
    <w:p>
      <w:pPr>
        <w:pStyle w:val="Header"/>
        <w:tabs>
          <w:tab w:val="clear" w:pos="4320"/>
          <w:tab w:val="clear" w:pos="8640"/>
        </w:tabs>
        <w:spacing w:line="480" w:lineRule="auto"/>
        <w:ind w:firstLine="720"/>
      </w:pPr>
      <w:r>
        <w:t>Respondent has been disciplined on three prior occasions.</w:t>
      </w:r>
      <w:r>
        <w:rPr>
          <w:rStyle w:val="FootnoteReference"/>
        </w:rPr>
        <w:footnoteReference w:id="3"/>
      </w:r>
      <w:r>
        <w:rPr>
          <w:b/>
        </w:rPr>
        <w:t xml:space="preserve">  </w:t>
      </w:r>
      <w:r>
        <w:t xml:space="preserve">Pursuant to a Supreme Court order filed on November 9, 2010, respondent was suspended for two years, the execution of which was stayed, and he was placed on probation for three years, including a 30-day period of suspension.  In this matter, respondent stipulated to nine counts of misconduct stemming from two client matters, including failing to perform legal services with competence (two counts), failing to respond to client inquiries (two counts), improper withdrawal from representation, failing to return a client file, failing to refund unearned fees, seeking an agreement to withdraw a State Bar complaint, and failing to cooperate in a State Bar investigation.  </w:t>
      </w:r>
    </w:p>
    <w:p>
      <w:pPr>
        <w:pStyle w:val="Header"/>
        <w:tabs>
          <w:tab w:val="clear" w:pos="4320"/>
          <w:tab w:val="clear" w:pos="8640"/>
        </w:tabs>
        <w:spacing w:line="480" w:lineRule="auto"/>
        <w:ind w:firstLine="720"/>
      </w:pPr>
      <w:r>
        <w:lastRenderedPageBreak/>
        <w:t xml:space="preserve">Pursuant to a Supreme Court order filed on October 19, 2011, respondent was suspended for two years, the execution of which was stayed, and he was placed on probation for three years, including a 60-day period of suspension.  In this matter, respondent stipulated to three counts of misconduct stemming from a single client matter, including failing to perform legal services with competence, failing to refund unearned fees, and failing to return a client file. </w:t>
      </w:r>
    </w:p>
    <w:p>
      <w:pPr>
        <w:pStyle w:val="Header"/>
        <w:tabs>
          <w:tab w:val="clear" w:pos="4320"/>
          <w:tab w:val="clear" w:pos="8640"/>
        </w:tabs>
        <w:spacing w:line="480" w:lineRule="auto"/>
        <w:ind w:firstLine="720"/>
      </w:pPr>
      <w:r>
        <w:t xml:space="preserve">Pursuant to a Supreme Court order filed on November 19, 2012, respondent was suspended for three years, the execution of which was stayed, and he was placed on probation for three years, including a nine-month period of suspension.  In this matter, respondent stipulated to one count of misconduct involving his failure to comply with the conditions of his first disciplinary probation.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 xml:space="preserve">Case Number 12-O-13891 </w:t>
      </w:r>
    </w:p>
    <w:p>
      <w:pPr>
        <w:spacing w:line="480" w:lineRule="auto"/>
        <w:ind w:firstLine="720"/>
      </w:pPr>
      <w:r>
        <w:t xml:space="preserve">Count One – respondent willfully violated Business and Professions Code section 6068, subdivision (k) (failing to comply with conditions of probation), by failing to comply with probationary conditions, in case no. S185779, requiring that he file quarterly reports, pay and show proof of restitution, attend and complete Ethics School, and attend and complete Client Trust Accounting School.  </w:t>
      </w:r>
    </w:p>
    <w:p>
      <w:pPr>
        <w:rPr>
          <w:b/>
        </w:rPr>
      </w:pPr>
      <w:r>
        <w:rPr>
          <w:b/>
        </w:rPr>
        <w:br w:type="page"/>
      </w:r>
    </w:p>
    <w:p>
      <w:pPr>
        <w:spacing w:line="480" w:lineRule="auto"/>
        <w:ind w:firstLine="720"/>
      </w:pPr>
      <w:r>
        <w:rPr>
          <w:b/>
        </w:rPr>
        <w:lastRenderedPageBreak/>
        <w:t>Case Number 12-O-13892</w:t>
      </w:r>
    </w:p>
    <w:p>
      <w:pPr>
        <w:spacing w:line="480" w:lineRule="auto"/>
        <w:ind w:firstLine="720"/>
      </w:pPr>
      <w:r>
        <w:t xml:space="preserve">Count Two – respondent willfully violated Business and Professions Code section 6068, subdivision (k) (failing to comply with conditions of probation), by failing to comply with probationary conditions, in case no. S195368, requiring that he timely submit quarterly reports.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State Bar properly served him with the NDC and made various efforts to locate respondent, including:  calling him at his membership records telephone number, calling him at a cell phone number he had previously provided to the State Bar, sending an email to him at the email address listed in his membership records, and sending him a facsimile at the fax number listed in his membership records;</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actual notice and opportunity, respondent failed to participate in this disciplinary proceeding.  As set forth in the Rules of Procedure of the State Bar, the court recommends disbarment.  </w:t>
      </w:r>
    </w:p>
    <w:p>
      <w:pPr>
        <w:rPr>
          <w:b/>
        </w:rPr>
      </w:pPr>
      <w:r>
        <w:rPr>
          <w:b/>
        </w:rPr>
        <w:br w:type="page"/>
      </w:r>
    </w:p>
    <w:p>
      <w:pPr>
        <w:pStyle w:val="Header"/>
        <w:tabs>
          <w:tab w:val="clear" w:pos="4320"/>
          <w:tab w:val="clear" w:pos="8640"/>
        </w:tabs>
        <w:spacing w:line="480" w:lineRule="auto"/>
        <w:jc w:val="center"/>
        <w:rPr>
          <w:b/>
        </w:rPr>
      </w:pPr>
      <w:r>
        <w:rPr>
          <w:b/>
        </w:rPr>
        <w:lastRenderedPageBreak/>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Sean Curtis Hickey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Sean Curtis Hickey, State Bar number 159116,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takes judicial notice of the pertinent State Bar Court records regarding these prior disciplines, admits them into evidence, and directs the Clerk to include copies in the record of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5WP1+t+VDoQSt44HzvxgrIJWunQ=" w:salt="hTs9sGq4DqgribrZj7QzPQ=="/>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8063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2013-08-28T22:13:00Z</dcterms:created>
  <dcterms:modified xsi:type="dcterms:W3CDTF">2013-08-28T22:13:00Z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