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OCTOBER 23, 2013</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JAY CURTIS COX,</w:t>
            </w:r>
          </w:p>
          <w:p>
            <w:pPr>
              <w:rPr>
                <w:b/>
                <w:bCs/>
              </w:rPr>
            </w:pPr>
          </w:p>
          <w:p>
            <w:pPr>
              <w:rPr>
                <w:b/>
                <w:bCs/>
              </w:rPr>
            </w:pPr>
            <w:r>
              <w:rPr>
                <w:b/>
                <w:bCs/>
              </w:rPr>
              <w:t>Member No.  147858,</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12-O-14005 (12-O-16400)-LMA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Jay Curtis Cox (respondent) was charged with failing to cooperate in a State Bar investigation in two matters and with failing to support the Constitution and laws of the United States and California.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rPr>
          <w:b/>
        </w:rPr>
        <w:tab/>
      </w: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lastRenderedPageBreak/>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September 9, 1990, and has been a member since then.</w:t>
      </w:r>
    </w:p>
    <w:p>
      <w:pPr>
        <w:spacing w:line="480" w:lineRule="auto"/>
        <w:rPr>
          <w:b/>
        </w:rPr>
      </w:pPr>
      <w:r>
        <w:rPr>
          <w:b/>
        </w:rPr>
        <w:t>Procedural Requirements Have Been Satisfied</w:t>
      </w:r>
    </w:p>
    <w:p>
      <w:pPr>
        <w:spacing w:line="480" w:lineRule="auto"/>
      </w:pPr>
      <w:r>
        <w:rPr>
          <w:b/>
        </w:rPr>
        <w:tab/>
      </w:r>
      <w:r>
        <w:t xml:space="preserve">On November 13, 2012, the State Bar filed and properly served the NDC on respondent by certified mail, return receipt requested, at his membership records address.  No signed return receipt was returned to the State Bar.  The NDC notified respondent that his failure to participate in the proceeding would result in a disbarment recommendation.  (Rule 5.41.)  </w:t>
      </w:r>
    </w:p>
    <w:p>
      <w:pPr>
        <w:spacing w:line="480" w:lineRule="auto"/>
      </w:pPr>
      <w:r>
        <w:rPr>
          <w:b/>
        </w:rPr>
        <w:tab/>
      </w:r>
      <w:r>
        <w:t xml:space="preserve">Respondent had actual notice of this proceeding.  The deputy trial counsel (DTC) assigned to this matter spoke to respondent by telephone on December 10, 2012, and respondent indicated that he would file a response to the NDC on or before December 14, 2012.  Thereafter, the assigned DTC received a voicemail message from respondent stating, in part, that he would file a response to the NDC on or before December 17, 2012.     </w:t>
      </w:r>
    </w:p>
    <w:p>
      <w:pPr>
        <w:spacing w:line="480" w:lineRule="auto"/>
        <w:ind w:firstLine="720"/>
      </w:pPr>
      <w:r>
        <w:t xml:space="preserve">Nevertheless, respondent failed to file a response to the NDC.  On December 18, 2012, the State Bar properly served a motion for entry of respondent’s default by certified mail, return receipt requested, on respondent at his membership records address.  The motion was filed on December 19, 2012.  The motion complied with all the requirements for a default, including a supporting declaration of reasonable diligence by the State Bar DTC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w:t>
      </w:r>
      <w:r>
        <w:lastRenderedPageBreak/>
        <w:t>January 4, 2013.  The order entering the default was served on respondent at his membership records address by certified mail, return receipt requested.</w:t>
      </w:r>
      <w:r>
        <w:rPr>
          <w:rStyle w:val="FootnoteReference"/>
        </w:rPr>
        <w:footnoteReference w:id="3"/>
      </w:r>
      <w:r>
        <w:t xml:space="preserve">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Respondent also did not seek to have his default set aside or vacated.  (Rule 5.83(C)(1) [attorney has 180 days to file motion to set aside default].)  On July 23, 2013, the State Bar filed the petition for disbarment.</w:t>
      </w:r>
      <w:r>
        <w:rPr>
          <w:rStyle w:val="FootnoteReference"/>
        </w:rPr>
        <w:footnoteReference w:id="4"/>
      </w:r>
      <w:r>
        <w:t xml:space="preserve">  As required by rule 5.85(A), the State Bar reported in the petition that:  (1) respondent has not contacted the State Bar since January 4, 2013, the date the default order was filed and served on respondent; (2) there is one investigation matter pending against respondent; (3) respondent has four prior records of discipline; and (4) the Client Security Fund has not made any payments as a result of respondent’s conduct.  Respondent did not respond to the petition for disbarment or move to set aside or vacate the default.  The case was submitted for decision on August 14, 2013.</w:t>
      </w:r>
    </w:p>
    <w:p>
      <w:pPr>
        <w:spacing w:line="480" w:lineRule="auto"/>
      </w:pPr>
      <w:r>
        <w:tab/>
        <w:t>Respondent has four prior records of discipline.</w:t>
      </w:r>
      <w:r>
        <w:rPr>
          <w:rStyle w:val="FootnoteReference"/>
        </w:rPr>
        <w:footnoteReference w:id="5"/>
      </w:r>
      <w:r>
        <w:t xml:space="preserve">  Pursuant to a Supreme Court order filed on May 15, 2001, respondent was suspended for two years, the execution of which was stayed, and he was placed on probation for three years on condition that he be actually suspended for one year and until he shows proof of his rehabilitation, fitness to practice and learning and ability in the general law.  This matter involved four criminal matters.  Respondent stipulated in this prior disciplinary matter that (1) his two separate convictions of violating Health and Safety </w:t>
      </w:r>
      <w:r>
        <w:lastRenderedPageBreak/>
        <w:t>Code section 11377 [possession of a controlled substance (methamphetamine)] did not involve moral turpitude but did involve other misconduct warranting discipline; (2) his conviction of violating Vehicle Code section 23103.5 [reckless driving-alcohol related] did not involve moral turpitude but did involve other misconduct warranting discipline; and (3) his conviction of violating Vehicle Code section 14601.5 [driving while privilege was suspended/revoked due to refusal to take chemical tests or excessive blood alcohol] did not involve moral turpitude but did involve other misconduct warranting discipline.</w:t>
      </w:r>
    </w:p>
    <w:p>
      <w:pPr>
        <w:spacing w:line="480" w:lineRule="auto"/>
      </w:pPr>
      <w:r>
        <w:tab/>
        <w:t xml:space="preserve">Pursuant to an order filed on January 7, 2010, respondent was publicly reproved as a result of his conviction of violating Vehicle Code sections 23152(a) [willfully and unlawfully driving a vehicle while being under the influence of an alcoholic beverage], 23152(b)  [willfully and unlawfully driving a vehicle with 0.08 percent or more, by weight of alcohol in his blood] and 14601.1(a) [driving with a suspended license].  Respondent stipulated that by violating these Vehicle Code sections, he committed other misconduct warranting discipline but did not commit an act of moral turpitude.      </w:t>
      </w:r>
    </w:p>
    <w:p>
      <w:pPr>
        <w:spacing w:line="480" w:lineRule="auto"/>
      </w:pPr>
      <w:r>
        <w:tab/>
        <w:t xml:space="preserve">Pursuant to a Supreme Court order filed on May 19, 2011, respondent was suspended for one year, the execution of which was stayed, and he was placed on probation for two years subject to probation conditions.  Respondent stipulated in this matter to failing to comply with conditions attached to a public reproval.  </w:t>
      </w:r>
    </w:p>
    <w:p>
      <w:pPr>
        <w:spacing w:line="480" w:lineRule="auto"/>
      </w:pPr>
      <w:r>
        <w:tab/>
        <w:t xml:space="preserve">Pursuant to a Supreme Court order filed on October 15, 2012, respondent’s earlier probation was revoked, and he was placed on probation for two years subject to certain conditions, including that he be suspended for the first year of his probation.  Respondent did not participate in this prior disciplinary matter.  Discipline was imposed based on respondent’s failure to comply with certain conditions of probation.   </w:t>
      </w:r>
    </w:p>
    <w:p>
      <w:pPr>
        <w:spacing w:line="480" w:lineRule="auto"/>
      </w:pPr>
      <w:r>
        <w:t>/ / /</w:t>
      </w:r>
    </w:p>
    <w:p>
      <w:pPr>
        <w:spacing w:line="480" w:lineRule="auto"/>
        <w:rPr>
          <w:b/>
        </w:rPr>
      </w:pPr>
      <w:r>
        <w:rPr>
          <w:b/>
        </w:rPr>
        <w:lastRenderedPageBreak/>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1.</w:t>
      </w:r>
      <w:r>
        <w:rPr>
          <w:b/>
        </w:rPr>
        <w:tab/>
        <w:t>Case Number 12-O-14005 (Failing to Cooperate in State Bar Investigation)</w:t>
      </w:r>
    </w:p>
    <w:p>
      <w:pPr>
        <w:spacing w:line="480" w:lineRule="auto"/>
      </w:pPr>
      <w:r>
        <w:rPr>
          <w:b/>
        </w:rPr>
        <w:tab/>
      </w:r>
      <w:r>
        <w:t>Count One – respondent willfully violated section 6068, subdivision (i) (failing to cooperate/participate in a disciplinary investigation) by failing to respond to a State Bar investigation.</w:t>
      </w:r>
    </w:p>
    <w:p>
      <w:pPr>
        <w:spacing w:line="480" w:lineRule="auto"/>
        <w:rPr>
          <w:b/>
        </w:rPr>
      </w:pPr>
      <w:r>
        <w:tab/>
      </w:r>
      <w:r>
        <w:rPr>
          <w:b/>
        </w:rPr>
        <w:t>2.  Case No. 12-O-16400 (Duty to Support Constitution &amp; Laws of U.S. &amp; California)</w:t>
      </w:r>
    </w:p>
    <w:p>
      <w:pPr>
        <w:spacing w:line="480" w:lineRule="auto"/>
        <w:rPr>
          <w:b/>
        </w:rPr>
      </w:pPr>
      <w:r>
        <w:rPr>
          <w:b/>
        </w:rPr>
        <w:tab/>
      </w:r>
      <w:r>
        <w:t xml:space="preserve">Count Two </w:t>
      </w:r>
      <w:r>
        <w:rPr>
          <w:b/>
        </w:rPr>
        <w:t xml:space="preserve">- </w:t>
      </w:r>
      <w:r>
        <w:t>respondent willfully violated section 6068, subdivision (a) (attorney’s duty to support Constitution and laws of United States and California) by engaging in acts constituting the practice of law while he was not entitled to practice law in willful violation of Business and Professions Code sections 6125 and 6126.</w:t>
      </w:r>
      <w:r>
        <w:rPr>
          <w:b/>
        </w:rPr>
        <w:t xml:space="preserve">  </w:t>
      </w:r>
    </w:p>
    <w:p>
      <w:pPr>
        <w:spacing w:line="480" w:lineRule="auto"/>
        <w:rPr>
          <w:b/>
        </w:rPr>
      </w:pPr>
      <w:r>
        <w:tab/>
        <w:t>Count Three – respondent willfully violated section 6068, subdivision (i) by failing to respond to a State Bar investigation.</w:t>
      </w:r>
    </w:p>
    <w:p>
      <w:pPr>
        <w:spacing w:line="480" w:lineRule="auto"/>
        <w:rPr>
          <w:b/>
        </w:rPr>
      </w:pPr>
      <w:r>
        <w:rPr>
          <w:b/>
        </w:rPr>
        <w:t>Disbarment is Recommended</w:t>
      </w:r>
    </w:p>
    <w:p>
      <w:pPr>
        <w:spacing w:line="480" w:lineRule="auto"/>
      </w:pPr>
      <w:r>
        <w:rPr>
          <w:b/>
        </w:rPr>
        <w:tab/>
      </w:r>
      <w:r>
        <w:t>Based on the above, the court concludes that the requirements of rule 5.85(E) have been satisfied, and respondent’s disbarment is recommended.  In particular:</w:t>
      </w:r>
    </w:p>
    <w:p>
      <w:pPr>
        <w:spacing w:line="480" w:lineRule="auto"/>
        <w:rPr>
          <w:b/>
        </w:rPr>
      </w:pPr>
      <w:r>
        <w:tab/>
        <w:t>(1) the NDC was properly served on respondent under rule 5.25;</w:t>
      </w:r>
      <w:r>
        <w:rPr>
          <w:b/>
        </w:rPr>
        <w:t xml:space="preserve"> </w:t>
      </w:r>
    </w:p>
    <w:p>
      <w:pPr>
        <w:spacing w:line="480" w:lineRule="auto"/>
        <w:rPr>
          <w:b/>
        </w:rPr>
      </w:pPr>
      <w:r>
        <w:rPr>
          <w:b/>
        </w:rPr>
        <w:tab/>
      </w:r>
      <w:r>
        <w:t xml:space="preserve">(2) respondent had actual notice of this proceeding, as the respondent spoke by telephone with the assigned DTC; indicated that he would file a response to the NDC on or before </w:t>
      </w:r>
      <w:r>
        <w:lastRenderedPageBreak/>
        <w:t>December 14, 2012; and, thereafter, the assigned DTC received a voicemail message from respondent stating that he would file a response to the NDC on or before December 17, 2012;</w:t>
      </w:r>
      <w:r>
        <w:rPr>
          <w:b/>
        </w:rPr>
        <w:t xml:space="preserve"> </w:t>
      </w:r>
    </w:p>
    <w:p>
      <w:pPr>
        <w:spacing w:line="480" w:lineRule="auto"/>
        <w:ind w:firstLine="720"/>
      </w:pPr>
      <w:r>
        <w:t>(3) the default was properly entered under rule 5.80; and</w:t>
      </w:r>
    </w:p>
    <w:p>
      <w:pPr>
        <w:spacing w:line="480" w:lineRule="auto"/>
        <w:ind w:firstLine="720"/>
        <w:rPr>
          <w:b/>
        </w:rPr>
      </w:pP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Jay Curtis Cox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pPr>
      <w:r>
        <w:t>/ / /</w:t>
      </w:r>
    </w:p>
    <w:p>
      <w:pPr>
        <w:spacing w:line="480" w:lineRule="auto"/>
      </w:pPr>
      <w:r>
        <w:t>/ / /</w:t>
      </w:r>
    </w:p>
    <w:p>
      <w:pPr>
        <w:spacing w:line="480" w:lineRule="auto"/>
        <w:jc w:val="center"/>
        <w:rPr>
          <w:b/>
        </w:rPr>
      </w:pPr>
      <w:r>
        <w:rPr>
          <w:b/>
        </w:rPr>
        <w:lastRenderedPageBreak/>
        <w:t>ORDER OF INVOLUNTARY INACTIVE ENROLLMENT</w:t>
      </w:r>
    </w:p>
    <w:p>
      <w:pPr>
        <w:spacing w:line="480" w:lineRule="auto"/>
      </w:pPr>
      <w:r>
        <w:rPr>
          <w:b/>
        </w:rPr>
        <w:tab/>
      </w:r>
      <w:r>
        <w:t xml:space="preserve">In accordance with Business and Professions Code section 6007, subdivision (c)(4), the court orders that Jay Curtis Cox, State Bar number 147858, be involuntarily enrolled as an </w:t>
      </w:r>
    </w:p>
    <w:p>
      <w:pPr>
        <w:spacing w:line="480" w:lineRule="auto"/>
      </w:pPr>
      <w:r>
        <w:t>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October _____, 2013</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order was returned to the court by the U.S. Postal Service as unclaimed.</w:t>
      </w:r>
    </w:p>
  </w:footnote>
  <w:footnote w:id="4">
    <w:p>
      <w:pPr>
        <w:pStyle w:val="FootnoteText"/>
      </w:pPr>
      <w:r>
        <w:rPr>
          <w:rStyle w:val="FootnoteReference"/>
        </w:rPr>
        <w:footnoteRef/>
      </w:r>
      <w:r>
        <w:t xml:space="preserve"> The disbarment petition was served on respondent by certified mail, return receipt requested, to his membership records address on July 19, 2013.  </w:t>
      </w:r>
    </w:p>
  </w:footnote>
  <w:footnote w:id="5">
    <w:p>
      <w:pPr>
        <w:pStyle w:val="FootnoteText"/>
      </w:pPr>
      <w:r>
        <w:rPr>
          <w:rStyle w:val="FootnoteReference"/>
        </w:rPr>
        <w:footnoteRef/>
      </w:r>
      <w:r>
        <w:t xml:space="preserve"> The court takes judicial notice of the pertinent State Bar Court records regarding this prior discipline, admits them into evidence and directs the clerk to include copies in the record of this case.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ocumentProtection w:edit="forms" w:enforcement="1" w:cryptProviderType="rsaFull" w:cryptAlgorithmClass="hash" w:cryptAlgorithmType="typeAny" w:cryptAlgorithmSid="4" w:cryptSpinCount="100000" w:hash="l8PNsgW6OMxuXcgZDpchSKbgSGE=" w:salt="OV6/5nm0VXxuEOLgey4PHg=="/>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8894</Characters>
  <Application>Microsoft Office Word</Application>
  <DocSecurity>0</DocSecurity>
  <Lines>174</Lines>
  <Paragraphs>73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2013-10-28T22:10:00Z</dcterms:created>
  <dcterms:modified xsi:type="dcterms:W3CDTF">2013-10-28T22:10:00Z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