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1,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JUDITH LASCH HUBERT,</w:t>
            </w:r>
          </w:p>
          <w:p>
            <w:pPr>
              <w:rPr>
                <w:b/>
                <w:bCs/>
              </w:rPr>
            </w:pPr>
          </w:p>
          <w:p>
            <w:pPr>
              <w:rPr>
                <w:b/>
                <w:bCs/>
              </w:rPr>
            </w:pPr>
            <w:r>
              <w:rPr>
                <w:b/>
                <w:bCs/>
              </w:rPr>
              <w:t>Member No.  93982,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12-O-14161-RAP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rPr>
          <w:b/>
        </w:rPr>
        <w:tab/>
      </w:r>
      <w:r>
        <w:t>Respondent Judith Lasch Hubert (respondent) was charged with failing to comply with probation conditions imposed pursuant to a Supreme Court order.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16, 1980, and has been a member since then.</w:t>
      </w:r>
    </w:p>
    <w:p>
      <w:pPr>
        <w:spacing w:line="480" w:lineRule="auto"/>
        <w:rPr>
          <w:b/>
        </w:rPr>
      </w:pPr>
      <w:r>
        <w:rPr>
          <w:b/>
        </w:rPr>
        <w:t>Procedural Requirements Have Been Satisfied</w:t>
      </w:r>
    </w:p>
    <w:p>
      <w:pPr>
        <w:spacing w:line="480" w:lineRule="auto"/>
        <w:rPr>
          <w:b/>
        </w:rPr>
      </w:pPr>
      <w:r>
        <w:tab/>
        <w:t xml:space="preserve">On October 31, 2012, the State Bar filed and properly served the NDC in this matter on respondent by certified mail, return receipt requested, at her membership records address.  The NDC notified respondent that her failure to participate in the proceeding would result in a disbarment recommendation.  (Rule 5.41.) </w:t>
      </w:r>
      <w:r>
        <w:rPr>
          <w:b/>
        </w:rPr>
        <w:t xml:space="preserve"> </w:t>
      </w:r>
      <w:r>
        <w:t>The return receipt was returned to the State Bar, but the signature on the return card was not legible.</w:t>
      </w:r>
      <w:r>
        <w:rPr>
          <w:b/>
        </w:rPr>
        <w:t xml:space="preserve"> </w:t>
      </w:r>
    </w:p>
    <w:p>
      <w:pPr>
        <w:spacing w:line="480" w:lineRule="auto"/>
      </w:pPr>
      <w:r>
        <w:rPr>
          <w:b/>
        </w:rPr>
        <w:tab/>
      </w:r>
      <w:r>
        <w:t>Respondent had actual notice of this proceeding.  The deputy trial counsel spoke to respondent on three occasions, each time informing respondent that she was ordered by the court to file a Motion for Entry of Default within two weeks if respondent did not file a response to the NDC.  On December 19, 2012, during their last telephone call, respondent acknowledged receiving documents that were mailed to her on December 7, 2012.</w:t>
      </w:r>
      <w:r>
        <w:rPr>
          <w:rStyle w:val="FootnoteReference"/>
        </w:rPr>
        <w:footnoteReference w:id="3"/>
      </w:r>
      <w:r>
        <w:t xml:space="preserve">  As respondent had stated during earlier conversations, she again stated that she believed that she received the NDC.  Respondent also stated she was placing a response to the NDC in the mail that afternoon.</w:t>
      </w:r>
    </w:p>
    <w:p>
      <w:pPr>
        <w:spacing w:line="480" w:lineRule="auto"/>
      </w:pPr>
      <w:r>
        <w:rPr>
          <w:b/>
        </w:rPr>
        <w:t xml:space="preserve">  </w:t>
      </w:r>
      <w:r>
        <w:rPr>
          <w:b/>
        </w:rPr>
        <w:tab/>
      </w:r>
      <w:r>
        <w:t xml:space="preserve">Nevertheless, respondent failed to file a response to the NDC.  On December 20, 2012, the State Bar filed and properly served a motion for entry of default on respondent by certified mail, return receipt requested, at her membership records address.  The motion complied with all the requirements for a default, including a supporting declaration of reasonable diligence by the </w:t>
      </w:r>
      <w:r>
        <w:lastRenderedPageBreak/>
        <w:t>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January 9, 2013.  The order entering the default was properly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spacing w:line="480" w:lineRule="auto"/>
        <w:rPr>
          <w:b/>
        </w:rPr>
      </w:pPr>
      <w:r>
        <w:rPr>
          <w:b/>
        </w:rPr>
        <w:tab/>
      </w:r>
      <w:r>
        <w:t>Respondent also did not seek to have her default set aside or vacated.  (Rule 5.83(C)(1) [attorney has 180 days to file motion to set aside default].)  On July 23, 2013, the State Bar filed and properly served the petition for disbarment on respondent by certified mail, return receipt requested, at respondent’s membership records address.  As required by rule 5.85(A), the State Bar reported in the petition that:  (1) it has had no contact with respondent since on or about January 9, 2013, the date the order entering her default was filed and served; (2) there are no other disciplinary matters pending against respondent; (3) respondent has a prior record of discipline; and (4) the Client Security Fund has not made any payments resulting from respondent’s conduct. Respondent did not respond to the petition for disbarment or move to set aside or vacate the default.  The case was submitted for decision on August 20, 2013.</w:t>
      </w:r>
    </w:p>
    <w:p>
      <w:pPr>
        <w:spacing w:line="480" w:lineRule="auto"/>
      </w:pPr>
      <w:r>
        <w:rPr>
          <w:b/>
        </w:rPr>
        <w:tab/>
      </w:r>
      <w:r>
        <w:t>Respondent has one prior record of discipline.</w:t>
      </w:r>
      <w:r>
        <w:rPr>
          <w:rStyle w:val="FootnoteReference"/>
        </w:rPr>
        <w:footnoteReference w:id="4"/>
      </w:r>
      <w:r>
        <w:t xml:space="preserve"> </w:t>
      </w:r>
      <w:r>
        <w:rPr>
          <w:b/>
        </w:rPr>
        <w:t xml:space="preserve"> </w:t>
      </w:r>
      <w:r>
        <w:t>Pursuant to a Supreme Court order filed on March 24, 2011, respondent was suspended from the practice of law for one year, the execution of which was stayed,</w:t>
      </w:r>
      <w:r>
        <w:rPr>
          <w:b/>
        </w:rPr>
        <w:t xml:space="preserve"> </w:t>
      </w:r>
      <w:r>
        <w:t xml:space="preserve">and she was placed on probation for one year subject to </w:t>
      </w:r>
      <w:r>
        <w:lastRenderedPageBreak/>
        <w:t>conditions.  Respondent stipulated in the prior disciplinary matter to culpability and discipline for failing to act competently and violating a court order.</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12-O-14161 (Probation Matter)</w:t>
      </w:r>
    </w:p>
    <w:p>
      <w:pPr>
        <w:spacing w:line="480" w:lineRule="auto"/>
      </w:pPr>
      <w:r>
        <w:rPr>
          <w:b/>
        </w:rPr>
        <w:tab/>
      </w:r>
      <w:r>
        <w:t xml:space="preserve">Respondent willfully violated Business and Professions Code section 6068, subdivision (k) (duty to comply with probation conditions) by failing to comply with specified probation conditions imposed by the Supreme Court in its March 24, 2011, Order.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spacing w:line="480" w:lineRule="auto"/>
      </w:pPr>
      <w:r>
        <w:tab/>
        <w:t xml:space="preserve">(2) respondent had actual notice of this proceeding, as she spoke with the assigned deputy trial counsel on three occasions, including one time when she acknowledged receipt of documents sent to her that included the NDC;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lastRenderedPageBreak/>
        <w:tab/>
        <w:t>Despite actual notice and opportunity, respondent failed to participate in this disciplinary proceeding.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 Judith Lasch Hubert be disbarred from the practice of law in the State of California and that her name be stricken from the roll of attorneys.</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Judith Lasch Hubert, State Bar number 93982, be involuntarily enrolled as an inactive member of the State Bar of California, effective three calendar days after the service of this decision and order.  (Rule 5.111(D).)</w:t>
      </w:r>
    </w:p>
    <w:p>
      <w:pPr>
        <w:spacing w:line="480" w:lineRule="auto"/>
        <w:rPr>
          <w:b/>
        </w:rPr>
      </w:pPr>
    </w:p>
    <w:p>
      <w:pPr>
        <w:pStyle w:val="Header"/>
        <w:tabs>
          <w:tab w:val="clear" w:pos="4320"/>
          <w:tab w:val="clear" w:pos="8640"/>
        </w:tabs>
        <w:spacing w:line="480" w:lineRule="auto"/>
        <w:rPr>
          <w:b/>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November 1, 2013</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rPr>
          <w:b/>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On December 7, 2012, the assigned deputy trial counsel sent documents, including the NDC, to respondent by first-class mail to respondent’s membership records address.</w:t>
      </w:r>
    </w:p>
  </w:footnote>
  <w:footnote w:id="4">
    <w:p>
      <w:pPr>
        <w:pStyle w:val="FootnoteText"/>
      </w:pPr>
      <w:r>
        <w:rPr>
          <w:rStyle w:val="FootnoteReference"/>
        </w:rPr>
        <w:footnoteRef/>
      </w:r>
      <w:r>
        <w:t xml:space="preserve"> The court admits into evidence the certified copy of respondent’s prior record of discipline that is attached as exhibit 1 to the State Bar’s July 23, 2013, petition for disbarment after default.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EDcJTBdfR6ky++PHi/KWx78ag4E=" w:salt="5Fu57Eispfp7dOClrMXh1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2013-11-06T23:59:00Z</dcterms:created>
  <dcterms:modified xsi:type="dcterms:W3CDTF">2013-11-06T23:59:00Z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