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jc w:val="right"/>
        <w:rPr>
          <w:b/>
          <w:sz w:val="36"/>
        </w:rPr>
      </w:pPr>
      <w:bookmarkStart w:id="0" w:name="_GoBack"/>
      <w:bookmarkEnd w:id="0"/>
      <w:r>
        <w:rPr>
          <w:b/>
        </w:rPr>
        <w:t>FILED SEPTEMBER 25, 2013</w:t>
      </w:r>
    </w:p>
    <w:p>
      <w:pPr>
        <w:contextualSpacing/>
      </w:pPr>
    </w:p>
    <w:p>
      <w:pPr>
        <w:contextualSpacing/>
      </w:pP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 xml:space="preserve">HEARING DEPARTMENT –  SAN FRANCISCO </w:t>
      </w:r>
    </w:p>
    <w:p>
      <w:pPr>
        <w:spacing w:line="480" w:lineRule="auto"/>
        <w:contextualSpacing/>
        <w:rPr>
          <w:b/>
          <w:bCs/>
        </w:rPr>
      </w:pPr>
    </w:p>
    <w:tbl>
      <w:tblPr>
        <w:tblW w:w="1034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4454"/>
      </w:tblGrid>
      <w:tr>
        <w:trPr>
          <w:cantSplit/>
          <w:trHeight w:val="462"/>
        </w:trPr>
        <w:tc>
          <w:tcPr>
            <w:tcW w:w="4373" w:type="dxa"/>
            <w:vMerge w:val="restart"/>
          </w:tcPr>
          <w:p>
            <w:pPr>
              <w:contextualSpacing/>
            </w:pPr>
            <w:r>
              <w:t>In the Matter of</w:t>
            </w:r>
          </w:p>
          <w:p>
            <w:pPr>
              <w:contextualSpacing/>
              <w:rPr>
                <w:b/>
                <w:bCs/>
              </w:rPr>
            </w:pPr>
          </w:p>
          <w:p>
            <w:pPr>
              <w:contextualSpacing/>
              <w:rPr>
                <w:b/>
                <w:bCs/>
              </w:rPr>
            </w:pPr>
            <w:r>
              <w:rPr>
                <w:b/>
                <w:bCs/>
              </w:rPr>
              <w:t>RAMINA AMY YOUSEFI,</w:t>
            </w:r>
          </w:p>
          <w:p>
            <w:pPr>
              <w:contextualSpacing/>
              <w:rPr>
                <w:b/>
                <w:bCs/>
              </w:rPr>
            </w:pPr>
          </w:p>
          <w:p>
            <w:pPr>
              <w:contextualSpacing/>
              <w:rPr>
                <w:b/>
                <w:bCs/>
              </w:rPr>
            </w:pPr>
            <w:r>
              <w:rPr>
                <w:b/>
                <w:bCs/>
              </w:rPr>
              <w:t>Member No.  260035,</w:t>
            </w:r>
          </w:p>
          <w:p>
            <w:pPr>
              <w:contextualSpacing/>
              <w:rPr>
                <w:b/>
                <w:bCs/>
              </w:rPr>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096" w:type="dxa"/>
            <w:tcBorders>
              <w:bottom w:val="nil"/>
            </w:tcBorders>
          </w:tcPr>
          <w:p>
            <w:pPr>
              <w:contextualSpacing/>
            </w:pPr>
            <w:r>
              <w:t>Case No.:</w:t>
            </w:r>
          </w:p>
        </w:tc>
        <w:tc>
          <w:tcPr>
            <w:tcW w:w="4454" w:type="dxa"/>
          </w:tcPr>
          <w:p>
            <w:pPr>
              <w:contextualSpacing/>
              <w:rPr>
                <w:bCs/>
              </w:rPr>
            </w:pPr>
            <w:r>
              <w:rPr>
                <w:b/>
                <w:bCs/>
              </w:rPr>
              <w:t>12-O-14373-LMA</w:t>
            </w:r>
          </w:p>
        </w:tc>
      </w:tr>
      <w:tr>
        <w:trPr>
          <w:cantSplit/>
          <w:trHeight w:val="1080"/>
        </w:trPr>
        <w:tc>
          <w:tcPr>
            <w:tcW w:w="4373"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550" w:type="dxa"/>
            <w:gridSpan w:val="2"/>
            <w:tcBorders>
              <w:bottom w:val="nil"/>
            </w:tcBorders>
          </w:tcPr>
          <w:p>
            <w:pPr>
              <w:contextualSpacing/>
              <w:rPr>
                <w:b/>
                <w:bCs/>
              </w:rPr>
            </w:pPr>
            <w:r>
              <w:rPr>
                <w:b/>
                <w:bCs/>
              </w:rPr>
              <w:t xml:space="preserve">DECISION AND ORDER OF INVOLUNTARY INACTIVE ENROLLMENT </w:t>
            </w:r>
          </w:p>
        </w:tc>
      </w:tr>
    </w:tbl>
    <w:p>
      <w:pPr>
        <w:spacing w:line="360" w:lineRule="auto"/>
        <w:contextualSpacing/>
      </w:pPr>
    </w:p>
    <w:p>
      <w:pPr>
        <w:spacing w:line="480" w:lineRule="auto"/>
        <w:contextualSpacing/>
      </w:pPr>
      <w:r>
        <w:tab/>
        <w:t>Respondent Ramina Amy Yousefi (respondent) is charged with two violations of the Business and Professions Code and the Rules of Professional Conduct in connection with a single client matter.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p>
    <w:p>
      <w:pPr>
        <w:spacing w:line="480" w:lineRule="auto"/>
        <w:contextualSpacing/>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contextualSpacing/>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spacing w:line="480" w:lineRule="auto"/>
        <w:contextualSpacing/>
      </w:pPr>
      <w:r>
        <w:rPr>
          <w:b/>
        </w:rPr>
        <w:tab/>
      </w:r>
      <w:r>
        <w:t>Respondent was admitted to practice law in this state on December 4, 2008, and has been a member since then.</w:t>
      </w:r>
    </w:p>
    <w:p>
      <w:pPr>
        <w:spacing w:line="480" w:lineRule="auto"/>
        <w:contextualSpacing/>
      </w:pPr>
      <w:r>
        <w:rPr>
          <w:b/>
        </w:rPr>
        <w:t>Procedural Requirements Have Been Satisfied</w:t>
      </w:r>
    </w:p>
    <w:p>
      <w:pPr>
        <w:spacing w:line="480" w:lineRule="auto"/>
      </w:pPr>
      <w:r>
        <w:tab/>
        <w:t xml:space="preserve">On October 2, 2012, the State Bar filed and properly served the NDC on respondent by certified mail, return receipt requested, at respondent’s membership-records address.  The NDC notified respondent that her failure to participate in the proceeding would result in a disbarment recommendation.  (Rule 5.41.)  The State Bar received the return receipt on October 9, 2012, signed by V. Kleingart. </w:t>
      </w:r>
    </w:p>
    <w:p>
      <w:pPr>
        <w:spacing w:line="480" w:lineRule="auto"/>
        <w:contextualSpacing/>
      </w:pPr>
      <w:r>
        <w:tab/>
        <w:t>On November 30, 2012, the State Bar (1) sent a courtesy copy of the NDC to respondent by regular first class mail at an alternative address that the State Bar had for respondent in its file (this copy was not returned to the State Bar); (2) attempted to fax the NDC to respondent at her membership-records fax number; (3) attempted to telephone respondent by calling her at her membership-records telephone number and at two alternative telephone numbers that the State Bar has for respondent in its file; (4) sent emails to respondent both at her membership-records email address and at a private email address;</w:t>
      </w:r>
      <w:r>
        <w:rPr>
          <w:rStyle w:val="FootnoteReference"/>
        </w:rPr>
        <w:footnoteReference w:id="3"/>
      </w:r>
      <w:r>
        <w:t xml:space="preserve"> and (5) conducted a Google search in an attempt to find additional addresses for respondent.  Then, on December 4, 2012, the State Bar called Directory Assistance in an attempt to find additional telephone numbers for respondent. </w:t>
      </w:r>
      <w:r>
        <w:tab/>
        <w:t xml:space="preserve">Respondent failed to file a response to the NDC.  On December 4, 2012, the State Bar filed a motion for entry of respondent’s default and properly served that motion on respondent </w:t>
      </w:r>
      <w:r>
        <w:lastRenderedPageBreak/>
        <w:t xml:space="preserve">both at her membership-records address and at an alternative address by certified mail, return receipt requested.  The return receipt for the motion for entry of default was signed by Michelle Copeland on December 7, 2012.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w:t>
      </w:r>
      <w:r>
        <w:tab/>
      </w:r>
    </w:p>
    <w:p>
      <w:pPr>
        <w:spacing w:line="480" w:lineRule="auto"/>
      </w:pPr>
      <w:r>
        <w:tab/>
        <w:t>Respondent did not file a response to the motion, and her default was entered on December 20, 2012.  The order entering the default was served on respondent at her membership-records address by certified mail, return receipt requested.  The court also ordered respondent’s involuntary inactive enrollment as a member of the State Bar under Business and Professions Code section 6007, subdivision (e),</w:t>
      </w:r>
      <w:r>
        <w:rPr>
          <w:rStyle w:val="FootnoteReference"/>
        </w:rPr>
        <w:footnoteReference w:id="4"/>
      </w:r>
      <w:r>
        <w:t xml:space="preserve"> effective three days after service of the order, and she has remained inactively enrolled since that time.  The State Bar Court received the return receipt for the order entering default on December 26, 2012, signed by V. Kleingart.</w:t>
      </w:r>
    </w:p>
    <w:p>
      <w:pPr>
        <w:spacing w:line="480" w:lineRule="auto"/>
        <w:contextualSpacing/>
      </w:pPr>
      <w:r>
        <w:rPr>
          <w:b/>
        </w:rPr>
        <w:tab/>
      </w:r>
      <w:r>
        <w:t>Respondent did not seek to have her default set aside or vacated.  (Rule 5.83(C)(1) [attorney has 180 days to file motion to set aside default].)  On June 25, 2013, the State Bar filed the petition for disbarment.  As required by rule 5.85(A), the State Bar reported in the petition that:  (1) the State Bar has not had any contact with respondent since the default was entered in December 2012; (2) there are three non-public disciplinary investigation matters pending against respondent; (3) respondent has no prior record of discipline; and (4) the Client Security Fund has not made any payments resulting from respondent’s misconduct.  Respondent did not respond to the petition for disbarment or move to set aside or vacate the default.  The case was submitted for decision on July 23, 2013.</w:t>
      </w:r>
    </w:p>
    <w:p>
      <w:pPr>
        <w:spacing w:line="480" w:lineRule="auto"/>
        <w:contextualSpacing/>
        <w:rPr>
          <w:b/>
        </w:rPr>
      </w:pPr>
      <w:r>
        <w:rPr>
          <w:b/>
        </w:rPr>
        <w:lastRenderedPageBreak/>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w:t>
      </w:r>
    </w:p>
    <w:p>
      <w:pPr>
        <w:spacing w:line="480" w:lineRule="auto"/>
        <w:contextualSpacing/>
        <w:rPr>
          <w:b/>
        </w:rPr>
      </w:pPr>
      <w:r>
        <w:rPr>
          <w:b/>
        </w:rPr>
        <w:tab/>
        <w:t xml:space="preserve">Case Number </w:t>
      </w:r>
      <w:r>
        <w:rPr>
          <w:b/>
          <w:bCs/>
        </w:rPr>
        <w:t xml:space="preserve">12-O-14373 </w:t>
      </w:r>
      <w:r>
        <w:rPr>
          <w:b/>
        </w:rPr>
        <w:t>(Stewart Matter)</w:t>
      </w:r>
    </w:p>
    <w:p>
      <w:pPr>
        <w:spacing w:line="480" w:lineRule="auto"/>
      </w:pPr>
      <w:r>
        <w:rPr>
          <w:b/>
        </w:rPr>
        <w:tab/>
      </w:r>
      <w:r>
        <w:t xml:space="preserve">Count One – Respondent willfully violated State Bar Rules of Professional Conduct, rule 4-100(B)(3) [render appropriate accounts] by failing to provide an accounting to her client.  </w:t>
      </w:r>
    </w:p>
    <w:p>
      <w:pPr>
        <w:spacing w:line="480" w:lineRule="auto"/>
        <w:ind w:firstLine="720"/>
      </w:pPr>
      <w:r>
        <w:t xml:space="preserve">Count Two – Respondent willfully violated section 6106 (moral turpitude – misappropriation) by misappropriating client funds in the amount of $1,000. </w:t>
      </w:r>
    </w:p>
    <w:p>
      <w:pPr>
        <w:spacing w:line="480" w:lineRule="auto"/>
        <w:contextualSpacing/>
        <w:rPr>
          <w:b/>
        </w:rPr>
      </w:pPr>
      <w:r>
        <w:rPr>
          <w:b/>
        </w:rPr>
        <w:t>Disbarment is Recommended</w:t>
      </w:r>
    </w:p>
    <w:p>
      <w:pPr>
        <w:spacing w:line="480" w:lineRule="auto"/>
        <w:contextualSpacing/>
      </w:pPr>
      <w:r>
        <w:rPr>
          <w:b/>
        </w:rPr>
        <w:tab/>
      </w:r>
      <w:r>
        <w:t>Based on the above, the court concludes that the requirements of rule 5.85(E) have been satisfied, and respondent’s disbarment is recommended.  In particular:</w:t>
      </w:r>
    </w:p>
    <w:p>
      <w:pPr>
        <w:spacing w:line="480" w:lineRule="auto"/>
        <w:contextualSpacing/>
      </w:pPr>
      <w:r>
        <w:tab/>
        <w:t xml:space="preserve">(1) the NDC was properly served on respondent under rule 5.25; </w:t>
      </w:r>
    </w:p>
    <w:p>
      <w:pPr>
        <w:spacing w:line="480" w:lineRule="auto"/>
        <w:contextualSpacing/>
      </w:pPr>
      <w:r>
        <w:rPr>
          <w:b/>
        </w:rPr>
        <w:tab/>
      </w:r>
      <w:r>
        <w:t>(2) reasonable diligence was used to notify respondent of the proceedings prior to the entry of her default, such as serving the NDC on respondent by certified mail at her membership-records address and at an alternative address; attempting to telephone respondent at her membership-records telephone number and two alternative telephone numbers; attempting to fax the NDC to respondent at her membership-records fax number; sending respondent an email at two email addresses; conducting a Google search for additional addresses for respondent; and calling Directory Assistance in an attempt to find additional telephone numbers for respondent;</w:t>
      </w:r>
    </w:p>
    <w:p>
      <w:pPr>
        <w:spacing w:line="480" w:lineRule="auto"/>
        <w:contextualSpacing/>
      </w:pPr>
      <w:r>
        <w:tab/>
        <w:t>(3) the default was properly entered under rule 5.80; and</w:t>
      </w:r>
    </w:p>
    <w:p>
      <w:pPr>
        <w:spacing w:line="480" w:lineRule="auto"/>
        <w:contextualSpacing/>
      </w:pPr>
      <w:r>
        <w:rPr>
          <w:b/>
        </w:rPr>
        <w:lastRenderedPageBreak/>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contextualSpacing/>
        <w:jc w:val="center"/>
        <w:rPr>
          <w:b/>
        </w:rPr>
      </w:pPr>
      <w:r>
        <w:rPr>
          <w:b/>
        </w:rPr>
        <w:t>RECOMMENDATIONS</w:t>
      </w:r>
    </w:p>
    <w:p>
      <w:pPr>
        <w:spacing w:line="480" w:lineRule="auto"/>
        <w:contextualSpacing/>
        <w:rPr>
          <w:b/>
        </w:rPr>
      </w:pPr>
      <w:r>
        <w:rPr>
          <w:b/>
        </w:rPr>
        <w:t>Disbarment</w:t>
      </w:r>
      <w:r>
        <w:rPr>
          <w:b/>
        </w:rPr>
        <w:tab/>
      </w:r>
    </w:p>
    <w:p>
      <w:pPr>
        <w:spacing w:line="480" w:lineRule="auto"/>
        <w:contextualSpacing/>
      </w:pPr>
      <w:r>
        <w:rPr>
          <w:b/>
        </w:rPr>
        <w:tab/>
      </w:r>
      <w:r>
        <w:t>The court recommends that respondent Ramina Amy Yousefi be disbarred from the practice of law in the State of California and that her name be stricken from the roll of attorneys.</w:t>
      </w:r>
    </w:p>
    <w:p>
      <w:pPr>
        <w:spacing w:line="480" w:lineRule="auto"/>
        <w:contextualSpacing/>
      </w:pPr>
      <w:r>
        <w:rPr>
          <w:b/>
        </w:rPr>
        <w:t>Restitution</w:t>
      </w:r>
    </w:p>
    <w:p>
      <w:pPr>
        <w:spacing w:line="480" w:lineRule="auto"/>
        <w:contextualSpacing/>
      </w:pPr>
      <w:r>
        <w:tab/>
        <w:t>The court further recommends that Ramina Amy Yousefi be ordered to make restitution to Beneaver Stewart in the amount of $1,000 plus 10 percent interest per year from December 1, 2011.</w:t>
      </w:r>
    </w:p>
    <w:p>
      <w:pPr>
        <w:spacing w:line="480" w:lineRule="auto"/>
        <w:contextualSpacing/>
      </w:pPr>
      <w:r>
        <w:tab/>
        <w:t>Any restitution owed to the Client Security Fund is enforceable as provided in Business and Professions Code section 6140.5, subdivisions (c) and (d).</w:t>
      </w:r>
    </w:p>
    <w:p>
      <w:pPr>
        <w:spacing w:line="480" w:lineRule="auto"/>
        <w:contextualSpacing/>
        <w:rPr>
          <w:b/>
        </w:rPr>
      </w:pPr>
      <w:r>
        <w:rPr>
          <w:b/>
        </w:rPr>
        <w:t>California Rules of Court, Rule 9.20</w:t>
      </w:r>
    </w:p>
    <w:p>
      <w:pPr>
        <w:spacing w:line="480" w:lineRule="auto"/>
        <w:contextualSpacing/>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pPr>
      <w:r>
        <w:t xml:space="preserve"> / / /</w:t>
      </w:r>
    </w:p>
    <w:p>
      <w:pPr>
        <w:spacing w:line="480" w:lineRule="auto"/>
        <w:contextualSpacing/>
      </w:pPr>
      <w:r>
        <w:t>/ / /</w:t>
      </w:r>
    </w:p>
    <w:p>
      <w:pPr>
        <w:spacing w:line="480" w:lineRule="auto"/>
        <w:contextualSpacing/>
      </w:pPr>
    </w:p>
    <w:p>
      <w:pPr>
        <w:spacing w:line="480" w:lineRule="auto"/>
        <w:contextualSpacing/>
        <w:rPr>
          <w:b/>
        </w:rPr>
      </w:pPr>
      <w:r>
        <w:rPr>
          <w:b/>
        </w:rPr>
        <w:lastRenderedPageBreak/>
        <w:t>Costs</w:t>
      </w:r>
    </w:p>
    <w:p>
      <w:pPr>
        <w:spacing w:line="480" w:lineRule="auto"/>
        <w:contextualSpacing/>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contextualSpacing/>
      </w:pPr>
      <w:r>
        <w:rPr>
          <w:b/>
        </w:rPr>
        <w:tab/>
      </w:r>
      <w:r>
        <w:t xml:space="preserve">In accordance with Business and Professions Code section 6007, subdivision (c)(4), the court orders that Ramina Amy Yousefi, State Bar Number 260035, be involuntarily enrolled </w:t>
      </w:r>
    </w:p>
    <w:p>
      <w:pPr>
        <w:spacing w:line="480" w:lineRule="auto"/>
        <w:contextualSpacing/>
      </w:pPr>
      <w:r>
        <w:t xml:space="preserve">as an inactive member of the State Bar of California, effective three calendar days after the </w:t>
      </w:r>
    </w:p>
    <w:p>
      <w:pPr>
        <w:spacing w:line="480" w:lineRule="auto"/>
        <w:contextualSpacing/>
      </w:pPr>
      <w:r>
        <w:t>service of this decision and order.  (Rules Proc. of State Bar, rule 5.111(D).)</w:t>
      </w:r>
    </w:p>
    <w:p>
      <w:pPr>
        <w:spacing w:line="480" w:lineRule="auto"/>
        <w:contextualSpacing/>
      </w:pPr>
    </w:p>
    <w:p>
      <w:pPr>
        <w:pStyle w:val="Header"/>
        <w:tabs>
          <w:tab w:val="clear" w:pos="4320"/>
          <w:tab w:val="clear" w:pos="8640"/>
        </w:tabs>
        <w:spacing w:line="480" w:lineRule="auto"/>
        <w:contextualSpacing/>
      </w:pPr>
    </w:p>
    <w:p>
      <w:pPr>
        <w:pStyle w:val="Header"/>
        <w:tabs>
          <w:tab w:val="clear" w:pos="4320"/>
          <w:tab w:val="clear" w:pos="8640"/>
        </w:tabs>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contextualSpacing/>
            </w:pPr>
            <w:r>
              <w:t>Dated:  September  ___, 2013.</w:t>
            </w:r>
          </w:p>
        </w:tc>
        <w:tc>
          <w:tcPr>
            <w:tcW w:w="4565" w:type="dxa"/>
            <w:tcBorders>
              <w:top w:val="single" w:sz="4" w:space="0" w:color="auto"/>
              <w:bottom w:val="nil"/>
              <w:right w:val="nil"/>
            </w:tcBorders>
          </w:tcPr>
          <w:p>
            <w:pPr>
              <w:contextualSpacing/>
              <w:rPr>
                <w:b/>
              </w:rPr>
            </w:pPr>
            <w:r>
              <w:rPr>
                <w:b/>
              </w:rPr>
              <w:t>LUCY ARMENDARIZ</w:t>
            </w:r>
          </w:p>
        </w:tc>
      </w:tr>
      <w:tr>
        <w:tc>
          <w:tcPr>
            <w:tcW w:w="4800" w:type="dxa"/>
            <w:tcBorders>
              <w:left w:val="nil"/>
              <w:bottom w:val="nil"/>
            </w:tcBorders>
          </w:tcPr>
          <w:p>
            <w:pPr>
              <w:contextualSpacing/>
            </w:pPr>
          </w:p>
        </w:tc>
        <w:tc>
          <w:tcPr>
            <w:tcW w:w="4565" w:type="dxa"/>
            <w:tcBorders>
              <w:bottom w:val="nil"/>
              <w:right w:val="nil"/>
            </w:tcBorders>
          </w:tcPr>
          <w:p>
            <w:pPr>
              <w:contextualSpacing/>
            </w:pPr>
            <w:r>
              <w:t>Judge of the State Bar Court</w:t>
            </w:r>
          </w:p>
        </w:tc>
      </w:tr>
    </w:tbl>
    <w:p>
      <w:pPr>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Except where otherwise indicated, all further references to rules are to the Rules of Procedure of the State Bar.</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All further statutory references are to the Business and Professions Code.</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647D"/>
    <w:multiLevelType w:val="hybridMultilevel"/>
    <w:tmpl w:val="AB88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kX7yW3K8bUgd59yZyHtX+ABaAcU=" w:salt="j1ATHMuqKdnRY/SdkFbxCQ=="/>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7572</Characters>
  <Application>Microsoft Office Word</Application>
  <DocSecurity>0</DocSecurity>
  <Lines>154</Lines>
  <Paragraphs>69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2013-10-26T00:55:00Z</dcterms:created>
  <dcterms:modified xsi:type="dcterms:W3CDTF">2013-10-26T00:55:00Z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