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OCTOBER 3, 2014</w:t>
      </w:r>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SCOTT LOREN STEEVER,</w:t>
            </w:r>
          </w:p>
          <w:p>
            <w:pPr>
              <w:rPr>
                <w:b/>
                <w:bCs/>
              </w:rPr>
            </w:pPr>
          </w:p>
          <w:p>
            <w:pPr>
              <w:rPr>
                <w:b/>
                <w:bCs/>
              </w:rPr>
            </w:pPr>
            <w:r>
              <w:rPr>
                <w:b/>
                <w:bCs/>
              </w:rPr>
              <w:t>Member No.  180189,</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12-O-14682-LMA</w:t>
            </w:r>
          </w:p>
          <w:p>
            <w:pPr>
              <w:rPr>
                <w:bCs/>
              </w:rPr>
            </w:pPr>
            <w:r>
              <w:rPr>
                <w:bCs/>
              </w:rPr>
              <w:t>12-O-15071; 12-O-10188 (Cons.)</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Scott Loren Steever was charged with nine counts of misconduct stemming from three client matters.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December 6, 1995, and has been a member since then.  </w:t>
      </w:r>
    </w:p>
    <w:p>
      <w:pPr>
        <w:spacing w:line="480" w:lineRule="auto"/>
        <w:rPr>
          <w:b/>
        </w:rPr>
      </w:pPr>
      <w:r>
        <w:rPr>
          <w:b/>
        </w:rPr>
        <w:t>Procedural Requirements Have Been Satisfied</w:t>
      </w:r>
    </w:p>
    <w:p>
      <w:pPr>
        <w:spacing w:line="480" w:lineRule="auto"/>
        <w:ind w:firstLine="720"/>
      </w:pPr>
      <w:r>
        <w:t>On December 3, 2013, the State Bar properly filed and served an NDC, in case no. 12</w:t>
      </w:r>
      <w:r>
        <w:noBreakHyphen/>
        <w:t>O</w:t>
      </w:r>
      <w:r>
        <w:noBreakHyphen/>
        <w:t>14682, on respondent by certified mail, return receipt requested, at his membership records address.  On December 4, 2013, the State Bar properly filed and served two additional NDCs, in case nos. 12</w:t>
      </w:r>
      <w:r>
        <w:noBreakHyphen/>
        <w:t>O</w:t>
      </w:r>
      <w:r>
        <w:noBreakHyphen/>
        <w:t>15071 and 12-O-10188, on respondent by certified mail, return receipt requested, at his membership records address.  The NDCs notified respondent that his failure to participate in the proceedings would result in a disbarment recommendation.  (Rule 5.41.)  The NDCs were not returned to the State Bar by the U.S. Postal Service as undeliverable or for any other reason.</w:t>
      </w:r>
      <w:r>
        <w:rPr>
          <w:rStyle w:val="FootnoteReference"/>
        </w:rPr>
        <w:footnoteReference w:id="3"/>
      </w:r>
      <w:r>
        <w:t xml:space="preserve">  </w:t>
      </w:r>
    </w:p>
    <w:p>
      <w:pPr>
        <w:spacing w:line="480" w:lineRule="auto"/>
        <w:ind w:firstLine="720"/>
      </w:pPr>
      <w:r>
        <w:t>In addition, reasonable diligence was also used to notify respondent of this proceeding.  The State Bar made several attempts to contact respondent without success.  Prior to filing the NDCs, respondent attended an Early Neutral Evaluation Conference (ENEC) in case no. 12</w:t>
      </w:r>
      <w:r>
        <w:noBreakHyphen/>
        <w:t>O</w:t>
      </w:r>
      <w:r>
        <w:noBreakHyphen/>
        <w:t>10188, on November 29, 2012.  Respondent also attended ENECs in case nos. 12</w:t>
      </w:r>
      <w:r>
        <w:noBreakHyphen/>
        <w:t>O</w:t>
      </w:r>
      <w:r>
        <w:noBreakHyphen/>
        <w:t xml:space="preserve">14682 and 12-O-15071, on January 14 and February 25, 2013, respectively.  Also prior to filing the NDCs, the deputy trial counsel of the State Bar had several conversations, via telephone and email, with respondent regarding possible resolution of the matters.  </w:t>
      </w:r>
    </w:p>
    <w:p>
      <w:pPr>
        <w:spacing w:line="480" w:lineRule="auto"/>
        <w:ind w:firstLine="720"/>
      </w:pPr>
      <w:r>
        <w:lastRenderedPageBreak/>
        <w:t>After filing the three NDCs, the State Bar sent copies of the NDCs to respondent at his official membership records address by regular first class mail.  The State Bar also emailed copies of the NDCs to respondent at his email address.  In addition, the State Bar called respondent at his official membership records telephone number and left a message regarding the State Bar’s intention to file a motion for entry of default.</w:t>
      </w:r>
    </w:p>
    <w:p>
      <w:pPr>
        <w:spacing w:line="480" w:lineRule="auto"/>
        <w:ind w:firstLine="720"/>
      </w:pPr>
      <w:r>
        <w:t>Respondent failed to file a response to the NDCs.  On January 14, 2014, the State Bar filed and properly served a motion for entry of respondent’s default.  The motion complied with all the requirements for a default, including a supporting declaration of reasonable diligence by the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January 30, 2014.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ind w:firstLine="720"/>
      </w:pPr>
      <w:r>
        <w:t xml:space="preserve">Respondent also did not seek to have his default set aside or vacated.  (Rule 5.83(C)(1) [attorney has 180 days to file motion to set aside default].)  On August 7, 2014, the State Bar filed the petition for disbarment.  As required by rule 5.85(A), the State Bar reported in the petition that:  (1) it has had no contact with respondent since the default was entered; (2) respondent has no other disciplinary matters pending; (3) respondent has no prior record of discipline; and (4) the Client Security Fund has not made any payments resulting from respondent’s conduct.  Respondent did not respond to the petition for disbarment or move to set aside or vacate the default.  The case was submitted for decision on September 3, 2014.  </w:t>
      </w:r>
    </w:p>
    <w:p>
      <w:pPr>
        <w:pStyle w:val="Header"/>
        <w:tabs>
          <w:tab w:val="clear" w:pos="4320"/>
          <w:tab w:val="clear" w:pos="8640"/>
        </w:tabs>
        <w:spacing w:line="480" w:lineRule="auto"/>
        <w:rPr>
          <w:b/>
        </w:rPr>
      </w:pPr>
      <w:r>
        <w:rPr>
          <w:b/>
        </w:rPr>
        <w:lastRenderedPageBreak/>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NDCs are deemed admitted and no further proof is required to establish the truth of such facts.  (Rule 5.82.)  As set forth below in greater detail, the factual allegations in the NDCs support the conclusion that respondent is culpable as charged, except as otherwise noted, and, therefore, violated a statute, rule, or court order that would warrant the imposition of discipline.  (Rule 5.85(E)(1)(d).)  </w:t>
      </w:r>
    </w:p>
    <w:p>
      <w:pPr>
        <w:spacing w:line="480" w:lineRule="auto"/>
        <w:ind w:firstLine="720"/>
        <w:rPr>
          <w:b/>
        </w:rPr>
      </w:pPr>
      <w:r>
        <w:rPr>
          <w:b/>
        </w:rPr>
        <w:t>Case No. 12-O-14682 – The Ramirez Matter</w:t>
      </w:r>
    </w:p>
    <w:p>
      <w:pPr>
        <w:spacing w:line="480" w:lineRule="auto"/>
        <w:ind w:firstLine="720"/>
      </w:pPr>
      <w:r>
        <w:t>Count One – respondent willfully violated Rules of Professional Conduct, rule 4</w:t>
      </w:r>
      <w:r>
        <w:noBreakHyphen/>
        <w:t>100(A) (failure to deposit client funds in trust) by receiving client funds and failing to deposit them in a bank account labeled “Trust Account,” “Client’s Funds Account,” or words of similar import.</w:t>
      </w:r>
    </w:p>
    <w:p>
      <w:pPr>
        <w:spacing w:line="480" w:lineRule="auto"/>
        <w:ind w:firstLine="720"/>
      </w:pPr>
      <w:r>
        <w:t>Count Two – respondent willfully violated Business and Professions Code section 6106 (moral turpitude – misappropriation) by dishonestly or grossly negligently misappropriating entrusted client funds in the amount of $54,947 for respondent’s own purposes.</w:t>
      </w:r>
    </w:p>
    <w:p>
      <w:pPr>
        <w:spacing w:line="480" w:lineRule="auto"/>
        <w:ind w:firstLine="720"/>
        <w:rPr>
          <w:b/>
        </w:rPr>
      </w:pPr>
      <w:r>
        <w:rPr>
          <w:b/>
        </w:rPr>
        <w:t>Case No. 12-O-15071 – The Margolin Matter</w:t>
      </w:r>
    </w:p>
    <w:p>
      <w:pPr>
        <w:spacing w:line="480" w:lineRule="auto"/>
        <w:ind w:firstLine="720"/>
      </w:pPr>
      <w:r>
        <w:t>Count One – respondent willfully violated Rules of Professional Conduct, rule 4</w:t>
      </w:r>
      <w:r>
        <w:noBreakHyphen/>
        <w:t>100(A) (failure to maintain client funds in trust) by depositing client funds in a client trust account, but subsequently failing to maintain those funds in trust.</w:t>
      </w:r>
    </w:p>
    <w:p>
      <w:pPr>
        <w:spacing w:line="480" w:lineRule="auto"/>
        <w:ind w:firstLine="720"/>
      </w:pPr>
      <w:r>
        <w:t>Count Two – respondent willfully violated Business and Professions Code section 6106 (moral turpitude – misappropriation) by dishonestly or grossly negligently misappropriating entrusted client funds in the amount of $209,000 for respondent’s own purposes.</w:t>
      </w:r>
    </w:p>
    <w:p>
      <w:pPr>
        <w:spacing w:line="480" w:lineRule="auto"/>
        <w:ind w:firstLine="720"/>
      </w:pPr>
      <w:r>
        <w:t>Count Three – respondent willfully violated Rules of Professional Conduct, rule 4</w:t>
      </w:r>
      <w:r>
        <w:noBreakHyphen/>
        <w:t xml:space="preserve">100(B)(4) (failure to promptly pay client funds) by failing to pay out any portion of the $209,000 in client funds held by respondent on his client’s behalf.  </w:t>
      </w:r>
    </w:p>
    <w:p>
      <w:pPr>
        <w:rPr>
          <w:b/>
        </w:rPr>
      </w:pPr>
      <w:r>
        <w:rPr>
          <w:b/>
        </w:rPr>
        <w:br w:type="page"/>
      </w:r>
    </w:p>
    <w:p>
      <w:pPr>
        <w:spacing w:line="480" w:lineRule="auto"/>
        <w:ind w:firstLine="720"/>
        <w:rPr>
          <w:b/>
        </w:rPr>
      </w:pPr>
      <w:r>
        <w:rPr>
          <w:b/>
        </w:rPr>
        <w:lastRenderedPageBreak/>
        <w:t>Case No. 12-O-10188 – The Gemjak Enterprises Matter</w:t>
      </w:r>
    </w:p>
    <w:p>
      <w:pPr>
        <w:spacing w:line="480" w:lineRule="auto"/>
        <w:ind w:firstLine="720"/>
      </w:pPr>
      <w:r>
        <w:t>Count One – the court does not find respondent culpable of willfully violating Rules of Professional Conduct, rule 3</w:t>
      </w:r>
      <w:r>
        <w:noBreakHyphen/>
        <w:t>110(A) (failure to perform) as there is no clear and convincing evidence that respondent intentionally, recklessly, or repeatedly failed to perform legal services with competence.</w:t>
      </w:r>
      <w:r>
        <w:rPr>
          <w:rStyle w:val="FootnoteReference"/>
        </w:rPr>
        <w:footnoteReference w:id="4"/>
      </w:r>
      <w:r>
        <w:t xml:space="preserve">  </w:t>
      </w:r>
    </w:p>
    <w:p>
      <w:pPr>
        <w:spacing w:line="480" w:lineRule="auto"/>
        <w:ind w:firstLine="720"/>
      </w:pPr>
      <w:r>
        <w:t>Count Two – the court does not find respondent culpable of willfully violating Business and Professions Code section 6104 (appearing without authority) as there is no clear and convincing evidence that respondent appeared as an attorney for a party without authority.</w:t>
      </w:r>
    </w:p>
    <w:p>
      <w:pPr>
        <w:spacing w:line="480" w:lineRule="auto"/>
        <w:ind w:firstLine="720"/>
      </w:pPr>
      <w:r>
        <w:t>Count Three – respondent willfully violated Rules of Professional Conduct, rule 3</w:t>
      </w:r>
      <w:r>
        <w:noBreakHyphen/>
        <w:t>700(D)(1) (failure to release file) by failing to promptly release his client’s file upon request.</w:t>
      </w:r>
    </w:p>
    <w:p>
      <w:pPr>
        <w:spacing w:line="480" w:lineRule="auto"/>
        <w:ind w:firstLine="720"/>
      </w:pPr>
      <w:r>
        <w:t>Count Four – respondent willfully violated Business and Professions Code section 6068, subdivision (o)(2) (failure to report judgment), by failing to report a civil judgment against respondent for breach of fiduciary duty to the agency charged with attorney discipline, in writing, within 30 days of the time respondent had knowledge of the entry of the judgment.</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ind w:firstLine="720"/>
      </w:pPr>
      <w:r>
        <w:t>(1) the NDCs were properly served on respondent under rule 5.25;</w:t>
      </w:r>
    </w:p>
    <w:p>
      <w:pPr>
        <w:spacing w:line="480" w:lineRule="auto"/>
        <w:ind w:firstLine="720"/>
      </w:pPr>
      <w:r>
        <w:t xml:space="preserve">(2) reasonable diligence was used to notify respondent of the proceedings prior to the entry of his default, as the State Bar properly served him with the NDCs and made various efforts to contact respondent, including sending copies of the NDCs to respondent at his official </w:t>
      </w:r>
      <w:r>
        <w:lastRenderedPageBreak/>
        <w:t>membership records address by regular first class mail, emailing copies of the NDCs to respondent at his email address, and calling respondent and leaving a message at his official membership records telephone number;</w:t>
      </w:r>
    </w:p>
    <w:p>
      <w:pPr>
        <w:spacing w:line="480" w:lineRule="auto"/>
        <w:ind w:firstLine="720"/>
      </w:pPr>
      <w:r>
        <w:t>(3) the default was properly entered under rule 5.80; and</w:t>
      </w:r>
    </w:p>
    <w:p>
      <w:pPr>
        <w:spacing w:line="480" w:lineRule="auto"/>
        <w:ind w:firstLine="720"/>
      </w:pPr>
      <w:r>
        <w:t>(4) the factual allegations in the NDCs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Scott Loren Steever be disbarred from the practice of law in the State of California and that his name be stricken from the roll of attorneys. </w:t>
      </w:r>
    </w:p>
    <w:p>
      <w:pPr>
        <w:spacing w:line="480" w:lineRule="auto"/>
        <w:rPr>
          <w:b/>
        </w:rPr>
      </w:pPr>
      <w:r>
        <w:rPr>
          <w:b/>
        </w:rPr>
        <w:t>Restitution</w:t>
      </w:r>
    </w:p>
    <w:p>
      <w:pPr>
        <w:spacing w:line="480" w:lineRule="auto"/>
        <w:ind w:firstLine="720"/>
      </w:pPr>
      <w:r>
        <w:t>The court also recommends that respondent be ordered to make restitution to the following payees:</w:t>
      </w:r>
    </w:p>
    <w:p>
      <w:pPr>
        <w:ind w:left="1170" w:hanging="450"/>
      </w:pPr>
      <w:r>
        <w:t>(1)   Joanna Ramirez in the amount of $54,947 plus 10 percent interest per year from October 28, 2011; and</w:t>
      </w:r>
    </w:p>
    <w:p>
      <w:pPr>
        <w:ind w:left="1170" w:hanging="450"/>
      </w:pPr>
    </w:p>
    <w:p>
      <w:pPr>
        <w:ind w:left="1170" w:hanging="450"/>
      </w:pPr>
      <w:r>
        <w:t xml:space="preserve">(2)   Bonnie Margolin in the amount of $209,000 plus 10 percent interest per year from November 13, 2009.  </w:t>
      </w:r>
    </w:p>
    <w:p>
      <w:pPr>
        <w:ind w:left="1170" w:hanging="450"/>
      </w:pPr>
    </w:p>
    <w:p>
      <w:pPr>
        <w:spacing w:line="480" w:lineRule="auto"/>
        <w:ind w:firstLine="720"/>
      </w:pPr>
      <w:r>
        <w:t>Any restitution owed to the Client Security Fund is enforceable as provided in Business and Professions Code section 6140.5, subdivisions (c) and (d).</w:t>
      </w:r>
      <w:r>
        <w:rPr>
          <w:rStyle w:val="FootnoteReference"/>
        </w:rPr>
        <w:footnoteReference w:id="5"/>
      </w:r>
    </w:p>
    <w:p>
      <w:pPr>
        <w:pStyle w:val="Header"/>
        <w:tabs>
          <w:tab w:val="clear" w:pos="4320"/>
          <w:tab w:val="clear" w:pos="8640"/>
        </w:tabs>
        <w:spacing w:line="480" w:lineRule="auto"/>
        <w:rPr>
          <w:b/>
        </w:rPr>
      </w:pPr>
      <w:r>
        <w:rPr>
          <w:b/>
        </w:rPr>
        <w:lastRenderedPageBreak/>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Scott Loren Steever, State Bar number 180189,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November _____, 2014</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allegations in two of the three NDCs charged a second attorney, Robert L. Anderson, with the same misconduct.  These two matters were subsequently severed, so respondent and Anderson could be tried separately.  Respondent’s three matters were then consolidated.</w:t>
      </w:r>
    </w:p>
  </w:footnote>
  <w:footnote w:id="4">
    <w:p>
      <w:pPr>
        <w:pStyle w:val="FootnoteText"/>
      </w:pPr>
      <w:r>
        <w:rPr>
          <w:rStyle w:val="FootnoteReference"/>
        </w:rPr>
        <w:footnoteRef/>
      </w:r>
      <w:r>
        <w:t xml:space="preserve"> The State Bar merely alleged that respondent “performed no legal services of value.”  This allegation is vague and arbitrary and does not establish, by clear and convincing evidence, that respondent intentionally, recklessly, or repeatedly failed to perform competent legal services.  </w:t>
      </w:r>
    </w:p>
  </w:footnote>
  <w:footnote w:id="5">
    <w:p>
      <w:pPr>
        <w:pStyle w:val="FootnoteText"/>
      </w:pPr>
      <w:r>
        <w:rPr>
          <w:rStyle w:val="FootnoteReference"/>
        </w:rPr>
        <w:footnoteRef/>
      </w:r>
      <w:r>
        <w:t xml:space="preserve"> As noted above, a second attorney, Robert L. Anderson, was charged in the Ramirez and Margolin matters.  If Anderson is required to pay any of this same restitution, this restitution should be paid by respondent and Anderson, jointly and severally.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ocumentProtection w:edit="forms" w:enforcement="1" w:cryptProviderType="rsaFull" w:cryptAlgorithmClass="hash" w:cryptAlgorithmType="typeAny" w:cryptAlgorithmSid="4" w:cryptSpinCount="100000" w:hash="cu88Bka0IFOvsVuEJ/Bft8TIg48=" w:salt="aSHBBBColxzwA0h4GiniUg=="/>
  <w:defaultTabStop w:val="720"/>
  <w:drawingGridHorizontalSpacing w:val="120"/>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1708</Words>
  <Characters>9353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2014-11-07T20:15:00Z</dcterms:created>
  <dcterms:modified xsi:type="dcterms:W3CDTF">2014-11-07T20:16:00Z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