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2, 2014</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JUAN JOSE GONZALEZ,</w:t>
            </w:r>
          </w:p>
          <w:p>
            <w:pPr>
              <w:rPr>
                <w:b/>
                <w:bCs/>
              </w:rPr>
            </w:pPr>
          </w:p>
          <w:p>
            <w:pPr>
              <w:rPr>
                <w:b/>
                <w:bCs/>
              </w:rPr>
            </w:pPr>
            <w:r>
              <w:rPr>
                <w:b/>
                <w:bCs/>
              </w:rPr>
              <w:t>Member No.  243647,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12-O-15175-RAP</w:t>
            </w:r>
          </w:p>
          <w:p>
            <w:pPr>
              <w:rPr>
                <w:bCs/>
              </w:rPr>
            </w:pPr>
            <w:r>
              <w:rPr>
                <w:bCs/>
              </w:rPr>
              <w:t>(12-O-15400; 13-O-10408)</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Juan Jose Gonzalez was charged with sixteen counts of misconduct stemming from three client matters.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June 19, 2006, and has been a member since then.  </w:t>
      </w:r>
    </w:p>
    <w:p>
      <w:pPr>
        <w:spacing w:line="480" w:lineRule="auto"/>
        <w:rPr>
          <w:b/>
        </w:rPr>
      </w:pPr>
      <w:r>
        <w:rPr>
          <w:b/>
        </w:rPr>
        <w:t>Procedural Requirements Have Been Satisfied</w:t>
      </w:r>
    </w:p>
    <w:p>
      <w:pPr>
        <w:spacing w:line="480" w:lineRule="auto"/>
        <w:ind w:firstLine="720"/>
      </w:pPr>
      <w:r>
        <w:t xml:space="preserve">On June 13, 2013, the State Bar properly filed and served an NDC on respondent by certified mail, return receipt requested, at his membership records address.  The NDC notified respondent that his failure to participate in the proceeding would result in a disbarment recommendation.  (Rule 5.41.)  On June 20, 2013, the certified mail return receipt was received by the State Bar, signed by Eric Martinez.  </w:t>
      </w:r>
    </w:p>
    <w:p>
      <w:pPr>
        <w:spacing w:line="480" w:lineRule="auto"/>
        <w:ind w:firstLine="720"/>
      </w:pPr>
      <w:r>
        <w:t xml:space="preserve">In addition, reasonable diligence was also used to notify respondent of this proceeding.  The State Bar made several attempts to contact respondent without success.  These efforts included calling him at his membership records telephone number, conducting internet and Lexis/Nexis searches for alternative contact information, calling him at possible alternative telephone numbers, sending an email to him at his official State Bar email address, sending an email to him at an alternative email address, checking for alternative contact information with his State Bar probation deputy, and sending a copy of the NDC by first class mail to his official State Bar membership records address and an alternative address.  </w:t>
      </w:r>
    </w:p>
    <w:p>
      <w:pPr>
        <w:spacing w:line="480" w:lineRule="auto"/>
        <w:ind w:firstLine="720"/>
      </w:pPr>
      <w:r>
        <w:t xml:space="preserve">Respondent failed to file a response to the NDC.  On July 16, 2013,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w:t>
      </w:r>
      <w:r>
        <w:lastRenderedPageBreak/>
        <w:t>5.80.)  The motion also notified respondent that if he did not timely move to set aside his default, the court would recommend his disbarment.  Respondent did not file a response to the motion, and his default was entered on August 6, 2013.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180 days to file motion to set aside default].)  On February 11, 2014, the State Bar filed the petition for disbarment.  As required by rule 5.85(A), the State Bar reported in the petition that:  (1) it has had no contact with respondent since the default was entered; (2) respondent has no other disciplinary matters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March 11, 2014.  </w:t>
      </w:r>
    </w:p>
    <w:p>
      <w:pPr>
        <w:pStyle w:val="Header"/>
        <w:tabs>
          <w:tab w:val="clear" w:pos="4320"/>
          <w:tab w:val="clear" w:pos="8640"/>
        </w:tabs>
        <w:spacing w:line="480" w:lineRule="auto"/>
        <w:ind w:firstLine="720"/>
      </w:pPr>
      <w:r>
        <w:t xml:space="preserve">Respondent has been disciplined on one prior occasion.  Pursuant to a Supreme Court order filed on April 10, 2013, respondent was suspended for two years, the execution of which was stayed, and he was placed on probation for three years, including a two-year minimum period of actual suspension and until he provides proof to the State Bar Court of his rehabilitation, fitness to practice, and learning and ability in the general law.  In this matter, respondent stipulated to culpability in six matters, including aiding the unauthorized practice of law (four counts), failing to refund unearned fees (four counts), improper withdrawal, failing to account (three counts), failing to perform legal services with competence (two counts), failing to respond to reasonable status inquiries, failing to return a client file, failing to obey a court order, </w:t>
      </w:r>
      <w:r>
        <w:lastRenderedPageBreak/>
        <w:t>making a misrepresentation constituting moral turpitude, failing to inform a client of significant developments, and failing to comply with Civil Code sections 2944.6 and 2944.7.</w:t>
      </w:r>
      <w:r>
        <w:rPr>
          <w:rStyle w:val="FootnoteReference"/>
        </w:rPr>
        <w:footnoteReference w:id="3"/>
      </w:r>
      <w:r>
        <w:t xml:space="preserv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Number 12-O-15175 – The Belmares Matter</w:t>
      </w:r>
    </w:p>
    <w:p>
      <w:pPr>
        <w:spacing w:line="480" w:lineRule="auto"/>
        <w:ind w:firstLine="720"/>
      </w:pPr>
      <w:r>
        <w:t xml:space="preserve">Count One – respondent willfully violated rule 3-110(A) of the Rules of Professional Conduct (failure to competently perform legal services) by failing to perform the legal services for which he was retained.  </w:t>
      </w:r>
    </w:p>
    <w:p>
      <w:pPr>
        <w:spacing w:line="480" w:lineRule="auto"/>
        <w:ind w:firstLine="720"/>
      </w:pPr>
      <w:r>
        <w:t xml:space="preserve">Count Two – respondent willfully violated Business and Professions Code section 6068, subdivision (m) (failure to communicate) by failing to respond to his client’s reasonable status inquiries.  </w:t>
      </w:r>
    </w:p>
    <w:p>
      <w:pPr>
        <w:spacing w:line="480" w:lineRule="auto"/>
        <w:ind w:firstLine="720"/>
      </w:pPr>
      <w:r>
        <w:t xml:space="preserve">Count Three – respondent willfully violated rule 3-700(D)(2) of the Rules of Professional Conduct (failing to refund unearned fees) by failing to refund unearned advanced fees.  </w:t>
      </w:r>
    </w:p>
    <w:p>
      <w:pPr>
        <w:spacing w:line="480" w:lineRule="auto"/>
        <w:ind w:firstLine="720"/>
      </w:pPr>
      <w:r>
        <w:t xml:space="preserve">Count Four – respondent willfully violated rule 4-100(B)(3) of the Rules of Professional Conduct (failing to account) by failing to provide his client with an accounting.  </w:t>
      </w:r>
    </w:p>
    <w:p>
      <w:pPr>
        <w:spacing w:line="480" w:lineRule="auto"/>
        <w:ind w:firstLine="720"/>
      </w:pPr>
      <w:r>
        <w:t xml:space="preserve">Count Five – respondent willfully violated rule 3-700(D)(1) of the Rules of Professional Conduct (failure to release file) by failing to promptly turn over his client’s papers and property upon termination of employment.  </w:t>
      </w:r>
    </w:p>
    <w:p>
      <w:pPr>
        <w:rPr>
          <w:b/>
        </w:rPr>
      </w:pPr>
      <w:r>
        <w:rPr>
          <w:b/>
        </w:rPr>
        <w:br w:type="page"/>
      </w:r>
    </w:p>
    <w:p>
      <w:pPr>
        <w:spacing w:line="480" w:lineRule="auto"/>
        <w:ind w:firstLine="720"/>
        <w:rPr>
          <w:b/>
        </w:rPr>
      </w:pPr>
      <w:r>
        <w:rPr>
          <w:b/>
        </w:rPr>
        <w:lastRenderedPageBreak/>
        <w:t>Case Number 12-O-15400 – The Bernal Matter</w:t>
      </w:r>
    </w:p>
    <w:p>
      <w:pPr>
        <w:spacing w:line="480" w:lineRule="auto"/>
        <w:ind w:firstLine="720"/>
      </w:pPr>
      <w:r>
        <w:t xml:space="preserve">Count Six – respondent willfully violated rule 3-110(A) of the Rules of Professional Conduct (failure to competently perform legal services) by failing to perform the substantive legal services for which he was retained.  </w:t>
      </w:r>
    </w:p>
    <w:p>
      <w:pPr>
        <w:spacing w:line="480" w:lineRule="auto"/>
        <w:ind w:firstLine="720"/>
      </w:pPr>
      <w:r>
        <w:t xml:space="preserve">Count Seven – respondent willfully violated Business and Professions Code section 6106.3, subdivision (a) (violation of Civil Code section 2944.7), by failing to provide his clients adequate notice that they can deal directly with their lender and that it is not necessary to pay a third party to negotiate a loan modification matter.  </w:t>
      </w:r>
    </w:p>
    <w:p>
      <w:pPr>
        <w:spacing w:line="480" w:lineRule="auto"/>
        <w:ind w:firstLine="720"/>
      </w:pPr>
      <w:r>
        <w:t xml:space="preserve">Count Eight – respondent willfully violated Business and Professions Code section 6106.3, subdivision (a) (violation of Civil Code section 2944.7), by collecting advanced fees prior to completing all services in a loan modification matter.  </w:t>
      </w:r>
    </w:p>
    <w:p>
      <w:pPr>
        <w:spacing w:line="480" w:lineRule="auto"/>
        <w:ind w:firstLine="720"/>
      </w:pPr>
      <w:r>
        <w:t xml:space="preserve">Count Nine – respondent willfully violated Business and Professions Code section 6068, subdivision (m) (failing to communicate significant developments), by failing to promptly inform his client of significant developments in a matter in which respondent had agreed to provide legal services.  </w:t>
      </w:r>
    </w:p>
    <w:p>
      <w:pPr>
        <w:spacing w:line="480" w:lineRule="auto"/>
        <w:ind w:firstLine="720"/>
      </w:pPr>
      <w:r>
        <w:t xml:space="preserve">Count Ten – respondent willfully violated Business and Professions Code section 6068, subdivision (c) (maintaining an unjust action), by filing an incomplete bankruptcy petition for the sole purpose of delaying an unlawful detainer case and without any intention of obtaining a bankruptcy discharge.  </w:t>
      </w:r>
    </w:p>
    <w:p>
      <w:pPr>
        <w:spacing w:line="480" w:lineRule="auto"/>
        <w:ind w:firstLine="720"/>
      </w:pPr>
      <w:r>
        <w:t xml:space="preserve">Count Eleven – respondent willfully violated Business and Professions Code section 6068, subdivision (d) (employing means inconsistent with truth), by employing, for the purposes of maintaining the causes confided in him, means which are inconsistent with truth and seeking to mislead the bankruptcy court and the court in the unlawful detainer action.  </w:t>
      </w:r>
    </w:p>
    <w:p>
      <w:pPr>
        <w:spacing w:line="480" w:lineRule="auto"/>
        <w:ind w:firstLine="720"/>
      </w:pPr>
      <w:r>
        <w:lastRenderedPageBreak/>
        <w:t>Count Twelve – respondent willfully violated rule 1-300(A) of the Rules of Professional Conduct (aiding the unauthorized practice of law) by allowing a non-attorney to prepare a legal document and give legal advice to a client without attorney supervision.</w:t>
      </w:r>
    </w:p>
    <w:p>
      <w:pPr>
        <w:spacing w:line="480" w:lineRule="auto"/>
        <w:ind w:firstLine="720"/>
        <w:rPr>
          <w:b/>
        </w:rPr>
      </w:pPr>
      <w:r>
        <w:rPr>
          <w:b/>
        </w:rPr>
        <w:t>Case Number 13-O-10408 – The Ziai Matter</w:t>
      </w:r>
    </w:p>
    <w:p>
      <w:pPr>
        <w:spacing w:line="480" w:lineRule="auto"/>
        <w:ind w:firstLine="720"/>
      </w:pPr>
      <w:r>
        <w:t xml:space="preserve">Count Thirteen – respondent willfully violated Business and Professions Code section 6068, subdivision (d) (seeking to mislead a judge) by knowingly making false representations to the superior court. </w:t>
      </w:r>
    </w:p>
    <w:p>
      <w:pPr>
        <w:spacing w:line="480" w:lineRule="auto"/>
        <w:ind w:firstLine="720"/>
      </w:pPr>
      <w:r>
        <w:t xml:space="preserve">Count Fourteen – respondent willfully violated Business and Professions Code section 6103 (failure to obey court orders) by failing to comply with the superior court’s orders to appear, show cause, and pay sanctions. </w:t>
      </w:r>
    </w:p>
    <w:p>
      <w:pPr>
        <w:spacing w:line="480" w:lineRule="auto"/>
        <w:ind w:firstLine="720"/>
      </w:pPr>
      <w:r>
        <w:t>Count Fifteen – respondent willfully violated section 6068, subdivision (o)(3) (failure to report judicial sanctions) by failing to report two $1,500 judicial sanctions to the State Bar.</w:t>
      </w:r>
    </w:p>
    <w:p>
      <w:pPr>
        <w:spacing w:line="480" w:lineRule="auto"/>
        <w:ind w:firstLine="720"/>
      </w:pPr>
      <w:r>
        <w:t xml:space="preserve">Count Sixteen – respondent willfully violated Business and Professions Code section 6068, subdivision (i) (failing to cooperate in a State Bar investigation), by failing to respond to the State Bar investigator’s letters or otherwise cooperating in the State Bar’s investigation.  </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 xml:space="preserve">(2) reasonable diligence was used to notify respondent of the proceedings prior to the entry of his default, as the State Bar properly served him with the NDC and made various efforts to locate respondent, including:  calling him at his membership records telephone number, conducting internet and Lexis/Nexis searches for alternative contact information, calling him at possible alternative telephone numbers, sending an email to him at his official State Bar email </w:t>
      </w:r>
      <w:r>
        <w:lastRenderedPageBreak/>
        <w:t>address, sending an email to him at an alternative email address, checking for alternative contact information with his State Bar probation deputy, and sending a copy of the NDC by first class mail to his official State Bar membership records address and an alternative address;</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Juan Jose Gonzalez be disbarred from the practice of law in the State of California and that his name be stricken from the roll of attorneys. </w:t>
      </w:r>
    </w:p>
    <w:p>
      <w:pPr>
        <w:spacing w:line="480" w:lineRule="auto"/>
        <w:rPr>
          <w:b/>
        </w:rPr>
      </w:pPr>
      <w:r>
        <w:rPr>
          <w:b/>
        </w:rPr>
        <w:t>Restitution</w:t>
      </w:r>
    </w:p>
    <w:p>
      <w:pPr>
        <w:spacing w:line="480" w:lineRule="auto"/>
        <w:ind w:firstLine="720"/>
      </w:pPr>
      <w:r>
        <w:t>The court also recommends that respondent be ordered to make restitution to Ernesto and Lorena Belmares in the amount of $3,500 plus 10 percent interest per year from May 12, 2012.  Any restitution owed to the Client Security Fund is enforceable as provided in Business and Professions Code section 6140.5, subdivisions (c) and (d).</w:t>
      </w:r>
      <w:r>
        <w:rPr>
          <w:rStyle w:val="FootnoteReference"/>
        </w:rPr>
        <w:footnoteReference w:id="4"/>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 xml:space="preserve">The court also recommends that respondent be ordered to comply with the requirements of California Rules of Court, rule 9.20, and to perform the acts specified in subdivisions (a) and </w:t>
      </w:r>
      <w:r>
        <w:lastRenderedPageBreak/>
        <w:t>(c)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Juan Jose Gonzalez, State Bar number 243647,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April 1,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Civil Code sections 2944.6 and 2944.7 apply to loan modification matters.  </w:t>
      </w:r>
    </w:p>
  </w:footnote>
  <w:footnote w:id="4">
    <w:p>
      <w:pPr>
        <w:pStyle w:val="FootnoteText"/>
      </w:pPr>
      <w:r>
        <w:rPr>
          <w:rStyle w:val="FootnoteReference"/>
        </w:rPr>
        <w:footnoteRef/>
      </w:r>
      <w:r>
        <w:t xml:space="preserve"> The record is silent as to whether there are any outstanding unearned or illegal fees in the Bernal matter.  Accordingly, the court does not recommend restitution in that matter.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osISZgesoGQtk6JNTW2AVnAEGOA=" w:salt="pkMQ1+ibGHOBZABADPp9+A=="/>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1991</Words>
  <Characters>11069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2014-04-11T22:30:00Z</dcterms:created>
  <dcterms:modified xsi:type="dcterms:W3CDTF">2014-04-11T22:31:00Z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