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15,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ESTRELITA LANE,</w:t>
            </w:r>
          </w:p>
          <w:p>
            <w:pPr>
              <w:rPr>
                <w:b/>
                <w:bCs/>
              </w:rPr>
            </w:pPr>
          </w:p>
          <w:p>
            <w:pPr>
              <w:rPr>
                <w:b/>
                <w:bCs/>
              </w:rPr>
            </w:pPr>
            <w:r>
              <w:rPr>
                <w:b/>
                <w:bCs/>
              </w:rPr>
              <w:t>Member No.  215086,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12-O-15194-DFM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Estrelita Lane (Respondent) was charged with three counts of misconduct stemming from one client matter.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 2001, and has been a member since then.</w:t>
      </w:r>
    </w:p>
    <w:p>
      <w:pPr>
        <w:spacing w:line="480" w:lineRule="auto"/>
        <w:rPr>
          <w:b/>
        </w:rPr>
      </w:pPr>
      <w:r>
        <w:rPr>
          <w:b/>
        </w:rPr>
        <w:t>Procedural Requirements Have Been Satisfied</w:t>
      </w:r>
    </w:p>
    <w:p>
      <w:pPr>
        <w:spacing w:line="480" w:lineRule="auto"/>
      </w:pPr>
      <w:r>
        <w:rPr>
          <w:b/>
        </w:rPr>
        <w:tab/>
      </w:r>
      <w:r>
        <w:t xml:space="preserve">On March 11, 2013, the State Bar filed and properly served the NDC on Respondent by certified mail, return receipt requested, to her membership records address.  The NDC notified Respondent that her failure to participate in the proceeding would result in a disbarment recommendation.  (Rule 5.41.)  </w:t>
      </w:r>
    </w:p>
    <w:p>
      <w:pPr>
        <w:tabs>
          <w:tab w:val="left" w:pos="0"/>
        </w:tabs>
        <w:spacing w:line="480" w:lineRule="auto"/>
        <w:ind w:firstLine="720"/>
      </w:pPr>
      <w:r>
        <w:t xml:space="preserve">Respondent had actual notice of this proceeding.  On April 8, 2013, the assigned deputy trial counsel faxed a letter and a copy of the NDC to Respondent’s membership records fax number.  Later that day, the assigned deputy trial counsel telephoned Respondent.  Respondent confirmed that she received the fax.  She also indicated that she wanted to hire an attorney and would contact the assigned deputy trial counsel within a day or two, to notify her when she planned to respond to the NDC.  On April 12, 2013, the assigned deputy trial counsel faxed a letter to Respondent indicating her intent to file a motion for default unless she received a response to the NDC by April 15, 2013.  On April 15, 2013, Respondent faxed a letter to the assigned deputy trial counsel, acknowledging receipt of the April 12, 2013, letter and requesting additional time to respond to the NDC.  On April 17, 2013, the assigned deputy trial counsel caused a letter to be mailed and faxed to Respondent stating, in part, that she had left a message for Respondent on April 16, 2013, in response to Respondent’s April 15, 2013, letter, and informing Respondent that the motion for entry of default would be filed since a response to the </w:t>
      </w:r>
      <w:r>
        <w:lastRenderedPageBreak/>
        <w:t xml:space="preserve">NDC had not been filed.  Later, on April 17, 2013, Respondent left a voice mail message for the assigned deputy trial counsel indicating, in part, that she was responding to the deputy trial counsel’s prior message; that she had received the deputy trial counsel’s April 17, 2013, fax; and that she planned to call and discuss the matter with the assigned deputy trial counsel.  </w:t>
      </w:r>
    </w:p>
    <w:p>
      <w:pPr>
        <w:tabs>
          <w:tab w:val="left" w:pos="0"/>
        </w:tabs>
        <w:spacing w:line="480" w:lineRule="auto"/>
        <w:ind w:firstLine="720"/>
        <w:rPr>
          <w:b/>
        </w:rPr>
      </w:pPr>
      <w:r>
        <w:t>Respondent did not subsequently contact the assigned deputy trial counsel.  Nor did she subsequently file a response to the NDC.</w:t>
      </w:r>
      <w:r>
        <w:rPr>
          <w:b/>
        </w:rPr>
        <w:t xml:space="preserve">  </w:t>
      </w:r>
    </w:p>
    <w:p>
      <w:pPr>
        <w:tabs>
          <w:tab w:val="left" w:pos="0"/>
        </w:tabs>
        <w:spacing w:line="480" w:lineRule="auto"/>
        <w:ind w:firstLine="720"/>
        <w:rPr>
          <w:b/>
        </w:rPr>
      </w:pPr>
      <w:r>
        <w:t>On April 17, 2013, the State Bar filed and properly served a motion for entry of default on Respondent by certified mail, return receipt requested, to her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May 8, 2013.</w:t>
      </w:r>
      <w:r>
        <w:rPr>
          <w:b/>
        </w:rPr>
        <w:t xml:space="preserve"> </w:t>
      </w:r>
      <w:r>
        <w:t xml:space="preserve"> The order entering the default was properly served on Respondent at her membership records address by certified mail, return receipt requested.</w:t>
      </w:r>
      <w:r>
        <w:rPr>
          <w:b/>
        </w:rPr>
        <w:t xml:space="preserve">  </w:t>
      </w:r>
      <w:r>
        <w:t>The court also ordered Respondent’s involuntary inactive enrollment as a member of the State Bar under Business and Professions Code section 6007, subdivision (e), effective three days after service of the order.  She has remained inactively enrolled since that time.</w:t>
      </w:r>
      <w:r>
        <w:rPr>
          <w:b/>
        </w:rPr>
        <w:t xml:space="preserve"> </w:t>
      </w:r>
    </w:p>
    <w:p>
      <w:pPr>
        <w:spacing w:line="480" w:lineRule="auto"/>
      </w:pPr>
      <w:r>
        <w:rPr>
          <w:b/>
        </w:rPr>
        <w:tab/>
      </w:r>
      <w:r>
        <w:t>Respondent also did not seek to have her default set aside or vacated.  (Rule 5.83(C)(1) [attorney has 180 days to file motion to set aside default].)</w:t>
      </w:r>
      <w:r>
        <w:rPr>
          <w:b/>
        </w:rPr>
        <w:t xml:space="preserve">  </w:t>
      </w:r>
      <w:r>
        <w:t>On November 13, 2013, the State Bar filed and properly served the petition for disbarment on Respondent by certified mail, return receipt requested, to her membership records address.</w:t>
      </w:r>
      <w:r>
        <w:rPr>
          <w:b/>
        </w:rPr>
        <w:t xml:space="preserve">  </w:t>
      </w:r>
      <w:r>
        <w:t xml:space="preserve">As required by rule 5.85(A), the State Bar reported in the petition that (1) Respondent has not contacted the State Bar since the date the default was entered; (2) there are other disciplinary matters pending against Respondent;          </w:t>
      </w:r>
      <w:r>
        <w:lastRenderedPageBreak/>
        <w:t>(3) Respondent has no record of prior discipline; and (4) the Client Security Fund has not made any payments resulting from Respondent’s conduct.  Respondent did not respond to the petition for disbarment or move to set aside or vacate the default.  The case was submitted for decision on December 11, 2013.</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12-O-15194</w:t>
      </w:r>
    </w:p>
    <w:p>
      <w:pPr>
        <w:spacing w:line="480" w:lineRule="auto"/>
        <w:ind w:firstLine="720"/>
      </w:pPr>
      <w:r>
        <w:t>Count One - Respondent willfully violated rule 3-110(A) of the Rules of Professional Conduct (failure to perform legal services with competence) by failing to file and serve a lawsuit on behalf of her clients.</w:t>
      </w:r>
    </w:p>
    <w:p>
      <w:pPr>
        <w:spacing w:line="480" w:lineRule="auto"/>
        <w:ind w:firstLine="720"/>
      </w:pPr>
      <w:r>
        <w:t>Count Two - Respondent willfully violated rule 3-700(D)(2) of the Rules of Professional Conduct (failure to return unearned fees) by failing to return $2,000 in unearned advanced fees paid by one of her clients.</w:t>
      </w:r>
    </w:p>
    <w:p>
      <w:pPr>
        <w:spacing w:line="480" w:lineRule="auto"/>
        <w:ind w:firstLine="720"/>
      </w:pPr>
      <w:r>
        <w:t>Count Three - Respondent willfully violated rule 4-100(B)(3) of the Rules of Professional Conduct (failure to render appropriate accounts) by failing to provide to her clients any accounting of the $2,000 advanced fee.</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rPr>
          <w:b/>
        </w:rPr>
      </w:pPr>
      <w:r>
        <w:lastRenderedPageBreak/>
        <w:t>(2) Respondent had actual notice of this proceeding, as she confirmed receipt of the NDC to the assigned deputy trial counsel and later requested an extension of time to respond to the NDC;</w:t>
      </w:r>
      <w:r>
        <w:rPr>
          <w:b/>
        </w:rPr>
        <w:t xml:space="preserve">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Estrelita Lane be disbarred from the practice of law in the State of California and that her name be stricken from the roll of attorneys.</w:t>
      </w:r>
    </w:p>
    <w:p>
      <w:pPr>
        <w:spacing w:line="480" w:lineRule="auto"/>
        <w:rPr>
          <w:b/>
        </w:rPr>
      </w:pPr>
      <w:r>
        <w:rPr>
          <w:b/>
        </w:rPr>
        <w:t>Restitution</w:t>
      </w:r>
    </w:p>
    <w:p>
      <w:pPr>
        <w:spacing w:line="480" w:lineRule="auto"/>
      </w:pPr>
      <w:r>
        <w:tab/>
        <w:t xml:space="preserve">The court recommends that Respondent be ordered to make restitution to Mark Halper in the amount of $2,000, plus 10 percent interest per year from February 23, 2012.  </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lastRenderedPageBreak/>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
        </w:rPr>
        <w:t>Estrelita Lane</w:t>
      </w:r>
      <w:r>
        <w:t>, State Bar number 215086,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references to rules are to this source.</w:t>
      </w:r>
    </w:p>
  </w:footnote>
  <w:footnote w:id="2">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Xgw30/lggN34RjFDH8427G7upEc=" w:salt="G6vQyOPL+Dm5MH14siBiMA=="/>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2014-01-24T18:21:00Z</dcterms:created>
  <dcterms:modified xsi:type="dcterms:W3CDTF">2014-01-24T18:22:00Z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