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FEBRUARY 11, 2014</w:t>
      </w:r>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CLARENCE LIVINGSTON, JR.,</w:t>
            </w:r>
          </w:p>
          <w:p>
            <w:pPr>
              <w:rPr>
                <w:b/>
                <w:bCs/>
              </w:rPr>
            </w:pPr>
          </w:p>
          <w:p>
            <w:pPr>
              <w:rPr>
                <w:b/>
                <w:bCs/>
              </w:rPr>
            </w:pPr>
            <w:r>
              <w:rPr>
                <w:b/>
                <w:bCs/>
              </w:rPr>
              <w:t>Member No.  85773,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12-O-15343-LMA</w:t>
            </w:r>
          </w:p>
          <w:p>
            <w:pPr>
              <w:rPr>
                <w:bCs/>
              </w:rPr>
            </w:pPr>
            <w:r>
              <w:rPr>
                <w:bCs/>
              </w:rPr>
              <w:t>(12-O-16045)</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Clarence Livingston, Jr., was charged with seven counts of misconduct stemming from two client matters.  Respondent failed to participate either in person or through counsel, and his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May 31, 1979, and has been a member since then.  </w:t>
      </w:r>
    </w:p>
    <w:p>
      <w:pPr>
        <w:spacing w:line="480" w:lineRule="auto"/>
        <w:rPr>
          <w:b/>
        </w:rPr>
      </w:pPr>
      <w:r>
        <w:rPr>
          <w:b/>
        </w:rPr>
        <w:t>Procedural Requirements Have Been Satisfied</w:t>
      </w:r>
    </w:p>
    <w:p>
      <w:pPr>
        <w:spacing w:line="480" w:lineRule="auto"/>
        <w:ind w:firstLine="720"/>
      </w:pPr>
      <w:r>
        <w:t xml:space="preserve">On April 19, 2013, the State Bar properly filed and served an NDC on respondent by certified mail, return receipt requested, at his membership records address.  The NDC notified respondent that his failure to participate in the proceeding would result in a disbarment recommendation.  (Rule 5.41.)  The NDC was returned to the State Bar by the United States Postal Service.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calling him at his membership records telephone number, calling him at possible alternative telephone numbers identified in internet and Lexis/Nexis searches, sending an email to him at an email address contained in the State Bar’s files, checking Parker’s online directory for any additional contact information, and calling directory assistance.  </w:t>
      </w:r>
    </w:p>
    <w:p>
      <w:pPr>
        <w:spacing w:line="480" w:lineRule="auto"/>
        <w:ind w:firstLine="720"/>
      </w:pPr>
      <w:r>
        <w:t xml:space="preserve">Respondent failed to file a response to the NDC.  On June 6, 2013,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w:t>
      </w:r>
      <w:r>
        <w:lastRenderedPageBreak/>
        <w:t>and his default was entered on June 24, 2013.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pStyle w:val="Header"/>
        <w:tabs>
          <w:tab w:val="clear" w:pos="4320"/>
          <w:tab w:val="clear" w:pos="8640"/>
        </w:tabs>
        <w:spacing w:line="480" w:lineRule="auto"/>
        <w:ind w:firstLine="720"/>
      </w:pPr>
      <w:r>
        <w:t xml:space="preserve">Respondent also did not seek to have his default set aside or vacated.  (Rule 5.83(C)(1) [attorney has 180 days to file motion to set aside default].)  On January 6, 2014, the State Bar filed the petition for disbarment.  As required by rule 5.85(A), the State Bar reported in the petition that:  (1) it has had no contact with respondent since the default was entered; (2) respondent has one other disciplinary matter pending; (3) respondent has one prior record of discipline; and (4) the Client Security Fund has not made any payments resulting from respondent’s conduct.  Respondent did not respond to the petition for disbarment or move to set aside or vacate the default.  The case was submitted for decision on February 3, 2014.  </w:t>
      </w:r>
    </w:p>
    <w:p>
      <w:pPr>
        <w:pStyle w:val="Header"/>
        <w:tabs>
          <w:tab w:val="clear" w:pos="4320"/>
          <w:tab w:val="clear" w:pos="8640"/>
        </w:tabs>
        <w:spacing w:line="480" w:lineRule="auto"/>
        <w:ind w:firstLine="720"/>
      </w:pPr>
      <w:r>
        <w:t>Respondent has been disciplined on one prior occasion.</w:t>
      </w:r>
      <w:r>
        <w:rPr>
          <w:b/>
        </w:rPr>
        <w:t xml:space="preserve">  </w:t>
      </w:r>
      <w:r>
        <w:t xml:space="preserve">Pursuant to a Supreme Court order filed on December 22, 2009, respondent was suspended for one year, the execution of which was stayed, and he was placed on probation for two years.  In this matter, respondent stipulated to three counts of misconduct stemming from a single client matter, including failing to competently perform legal services, failing to keep a client reasonably informed of significant developments, and failing to abide by the terms of an agreement in lieu of discipline.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w:t>
      </w:r>
      <w:r>
        <w:lastRenderedPageBreak/>
        <w:t xml:space="preserve">respondent is culpable as charged and, therefore, violated a statute, rule, or court order that would warrant the imposition of discipline.  (Rule 5.85(E)(1)(d).)  </w:t>
      </w:r>
    </w:p>
    <w:p>
      <w:pPr>
        <w:spacing w:line="480" w:lineRule="auto"/>
        <w:ind w:firstLine="720"/>
        <w:rPr>
          <w:b/>
        </w:rPr>
      </w:pPr>
      <w:r>
        <w:rPr>
          <w:b/>
        </w:rPr>
        <w:t>Case Number 12-O-15343 – The Smith, Smith-Lewis, and Smith-Grady Matter</w:t>
      </w:r>
    </w:p>
    <w:p>
      <w:pPr>
        <w:spacing w:line="480" w:lineRule="auto"/>
        <w:ind w:firstLine="720"/>
      </w:pPr>
      <w:r>
        <w:t xml:space="preserve">Count One – respondent willfully violated Business and Professions Code section 6068, subdivision (m) (failing to communicate significant developments), by failing to promptly inform his clients that he had been suspended from the practice of law.  </w:t>
      </w:r>
    </w:p>
    <w:p>
      <w:pPr>
        <w:spacing w:line="480" w:lineRule="auto"/>
        <w:ind w:firstLine="720"/>
      </w:pPr>
      <w:r>
        <w:t>Count Two – respondent willfully violated Business and Professions Code section 6068, subdivision (a) (failure to comply with all laws – unauthorized practice) by holding himself out as entitled to practice law when he was not an active member of the State Bar, in willful violation of Business and Professions Code sections 6125 and 6126.</w:t>
      </w:r>
    </w:p>
    <w:p>
      <w:pPr>
        <w:spacing w:line="480" w:lineRule="auto"/>
        <w:ind w:firstLine="720"/>
      </w:pPr>
      <w:r>
        <w:t xml:space="preserve">Count Three – respondent willfully violated rule 3-700(D)(1) of the Rules of Professional Conduct (failure to release file) by failing to promptly turn over his client’s file upon termination of employment.  </w:t>
      </w:r>
    </w:p>
    <w:p>
      <w:pPr>
        <w:spacing w:line="480" w:lineRule="auto"/>
        <w:ind w:firstLine="720"/>
      </w:pPr>
      <w:r>
        <w:rPr>
          <w:b/>
        </w:rPr>
        <w:t>Case Number 12-O-16045 – The Taylor Matter</w:t>
      </w:r>
    </w:p>
    <w:p>
      <w:pPr>
        <w:spacing w:line="480" w:lineRule="auto"/>
        <w:ind w:firstLine="720"/>
      </w:pPr>
      <w:r>
        <w:t xml:space="preserve">Count Four – respondent willfully violated rule 3-110(A) of the Rules of Professional Conduct (failure to competently perform legal services) by failing to perform any of the substantive legal services for which he was retained.  </w:t>
      </w:r>
    </w:p>
    <w:p>
      <w:pPr>
        <w:spacing w:line="480" w:lineRule="auto"/>
        <w:ind w:firstLine="720"/>
      </w:pPr>
      <w:r>
        <w:t xml:space="preserve">Count Five – respondent willfully violated Business and Professions Code section 6068, subdivision (m) (failing to respond to client inquiries), by failing to respond to his client’s telephone calls requesting a status update.  </w:t>
      </w:r>
    </w:p>
    <w:p>
      <w:pPr>
        <w:spacing w:line="480" w:lineRule="auto"/>
        <w:ind w:firstLine="720"/>
      </w:pPr>
      <w:r>
        <w:t xml:space="preserve">Count Six – respondent willfully violated rule 3-700(D)(1) of the Rules of Professional Conduct (failure to release file) by failing to promptly turn over his client’s file upon termination of employment.  </w:t>
      </w:r>
    </w:p>
    <w:p>
      <w:pPr>
        <w:spacing w:line="480" w:lineRule="auto"/>
        <w:ind w:firstLine="720"/>
      </w:pPr>
      <w:r>
        <w:lastRenderedPageBreak/>
        <w:t>Count Seven – respondent willfully violated Business and Professions Code section 6068, subdivision (i) (failing to cooperate in a State Bar investigation), by failing to respond to the State Bar investigator’s letters or otherwise cooperate in the State Bar’s investigation.</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(2) reasonable diligence was used to notify respondent of the proceedings prior to the entry of his default, as the State Bar properly served him with the NDC and made various efforts to locate respondent, including:  calling him at his membership records telephone number, calling him at possible alternative telephone numbers identified in the State Bar’s internet and Lexis/Nexis searches, sending an email to him at an email address contained in the State Bar’s files, checking Parker’s online directory for any additional contact information, and calling directory assistance;</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spacing w:line="480" w:lineRule="auto"/>
      </w:pPr>
      <w:r>
        <w:t>/ / /</w:t>
      </w:r>
    </w:p>
    <w:p>
      <w:pPr>
        <w:spacing w:line="480" w:lineRule="auto"/>
      </w:pPr>
      <w:r>
        <w:t>/ / /</w:t>
      </w:r>
    </w:p>
    <w:p>
      <w:pPr>
        <w:rPr>
          <w:b/>
        </w:rPr>
      </w:pPr>
      <w:r>
        <w:rPr>
          <w:b/>
        </w:rPr>
        <w:br w:type="page"/>
      </w:r>
    </w:p>
    <w:p>
      <w:pPr>
        <w:pStyle w:val="Header"/>
        <w:tabs>
          <w:tab w:val="clear" w:pos="4320"/>
          <w:tab w:val="clear" w:pos="8640"/>
        </w:tabs>
        <w:spacing w:line="480" w:lineRule="auto"/>
        <w:jc w:val="center"/>
        <w:rPr>
          <w:b/>
        </w:rPr>
      </w:pPr>
      <w:r>
        <w:rPr>
          <w:b/>
        </w:rPr>
        <w:lastRenderedPageBreak/>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Clarence Livingston, Jr., be disbarred from the practice of law in the State of California and that his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pStyle w:val="Header"/>
        <w:tabs>
          <w:tab w:val="clear" w:pos="4320"/>
          <w:tab w:val="clear" w:pos="8640"/>
        </w:tabs>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Clarence Livingston, Jr., State Bar number 85773,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February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ocumentProtection w:edit="forms" w:enforcement="1" w:cryptProviderType="rsaFull" w:cryptAlgorithmClass="hash" w:cryptAlgorithmType="typeAny" w:cryptAlgorithmSid="4" w:cryptSpinCount="100000" w:hash="X3Pd4XcQ4djKFDTETna2YliFWOg=" w:salt="W5gpBAjsZRyNz5PrzVMh/g=="/>
  <w:defaultTabStop w:val="720"/>
  <w:drawingGridHorizontalSpacing w:val="120"/>
  <w:displayHorizontalDrawingGridEvery w:val="2"/>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2014-02-18T18:57:00Z</dcterms:created>
  <dcterms:modified xsi:type="dcterms:W3CDTF">2014-02-18T18:58:00Z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