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DECEMBER 5,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JENNIFER MARIE URQUIZU,</w:t>
            </w:r>
          </w:p>
          <w:p>
            <w:pPr>
              <w:rPr>
                <w:b/>
                <w:bCs/>
              </w:rPr>
            </w:pPr>
          </w:p>
          <w:p>
            <w:pPr>
              <w:rPr>
                <w:b/>
                <w:bCs/>
              </w:rPr>
            </w:pPr>
            <w:r>
              <w:rPr>
                <w:b/>
                <w:bCs/>
              </w:rPr>
              <w:t>Member No.  231134,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12-O-15510-DFM</w:t>
            </w:r>
          </w:p>
          <w:p>
            <w:pPr>
              <w:rPr>
                <w:bCs/>
              </w:rPr>
            </w:pPr>
            <w:r>
              <w:rPr>
                <w:bCs/>
              </w:rPr>
              <w:t>(12-O-15877; 12-O-16380)</w:t>
            </w:r>
          </w:p>
          <w:p>
            <w:pPr>
              <w:rPr>
                <w:bCs/>
              </w:rPr>
            </w:pPr>
            <w:r>
              <w:rPr>
                <w:bCs/>
              </w:rPr>
              <w:t>12-J-17378 (Cons.)</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Jennifer Marie Urquizu (Respondent) was charged with 15 counts of misconduct stemming from four separate matters.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June 1, 2004, and has been a member since then.  </w:t>
      </w:r>
    </w:p>
    <w:p>
      <w:pPr>
        <w:spacing w:line="480" w:lineRule="auto"/>
        <w:rPr>
          <w:b/>
        </w:rPr>
      </w:pPr>
      <w:r>
        <w:rPr>
          <w:b/>
        </w:rPr>
        <w:t>Procedural Requirements Have Been Satisfied</w:t>
      </w:r>
    </w:p>
    <w:p>
      <w:pPr>
        <w:spacing w:line="480" w:lineRule="auto"/>
        <w:ind w:firstLine="720"/>
      </w:pPr>
      <w:r>
        <w:t xml:space="preserve">On December 17, 2012, the State Bar properly filed and served an NDC on Respondent by certified mail, return receipt requested, at her membership records address.  The NDC notified Respondent that her failure to participate in the proceeding would result in a disbarment recommendation.  (Rule 5.41.)  The NDC was not returned to the State Bar as undeliverable or for any other reason.  </w:t>
      </w:r>
    </w:p>
    <w:p>
      <w:pPr>
        <w:spacing w:line="480" w:lineRule="auto"/>
        <w:ind w:firstLine="720"/>
      </w:pPr>
      <w:r>
        <w:t xml:space="preserve">In addition, Respondent had actual notice of this proceeding.  On January 10, 2013, Deputy Trial Counsel Kim Kasreliovich (DTC Kasreliovich) spoke to Respondent in-person regarding the NDC in this matter.  DTC Kasreliovich and Respondent discussed the charges contained in the NDC, the upcoming State Bar Court status conference, and the importance of filing a response to the NDC.  After Respondent failed to appear for the January 22, 2013 status conference, the State Bar made various attempts to contact Respondent.  These attempts included calling Respondent and leaving her a message at a cellular number previously provided by Respondent, sending Respondent an email at an email address previously provided by Respondent, and mailing copies of the NDC to Respondent at her membership records address and a home address contained in Respondent’s case file.  </w:t>
      </w:r>
    </w:p>
    <w:p>
      <w:pPr>
        <w:spacing w:line="480" w:lineRule="auto"/>
        <w:ind w:firstLine="720"/>
      </w:pPr>
      <w:r>
        <w:t xml:space="preserve">Respondent failed to file a response to the NDC.  On February 1, 2013, the State Bar filed and properly served a motion for entry of Respondent’s default.  The motion complied with all </w:t>
      </w:r>
      <w:r>
        <w:lastRenderedPageBreak/>
        <w:t>the requirements for a default, including a supporting declaration of reasonable diligence by DTC Kasreliovich declaring the additional steps taken to provide notice to Respondent.  (Rule 5.80.)  The motion also notified Respondent that if she did not timely move to set aside her default, the court would recommend her disbarment.  Respondent did not file a response to the default motion, and her default was entered on February 21, 2013.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180 days to file motion to set aside default].)  On September 20, 2013, the State Bar filed the petition for disbarment.  As required by rule 5.85(A), the State Bar reported in the petition that:  (1) it has had no contact with Respondent since the default was entered; (2) Respondent had no other disciplinary matters pending; (3) Respondent has one prior record of discipline; and (4) the Client Security Fund has not made any payments resulting from Respondent’s conduct.  Respondent did not respond to the petition for disbarment or move to set aside or vacate the default.  The case was submitted for decision on October 17, 2013.  </w:t>
      </w:r>
    </w:p>
    <w:p>
      <w:pPr>
        <w:pStyle w:val="Header"/>
        <w:tabs>
          <w:tab w:val="clear" w:pos="4320"/>
          <w:tab w:val="clear" w:pos="8640"/>
        </w:tabs>
        <w:spacing w:line="480" w:lineRule="auto"/>
        <w:ind w:firstLine="720"/>
      </w:pPr>
      <w:r>
        <w:t>Respondent has been disciplined on one prior occasion.</w:t>
      </w:r>
      <w:r>
        <w:rPr>
          <w:b/>
        </w:rPr>
        <w:t xml:space="preserve">  </w:t>
      </w:r>
      <w:r>
        <w:t xml:space="preserve">Pursuant to a Supreme Court order filed on May 31, 2013, Respondent was suspended for three years, the execution of which was stayed, and she was placed on probation for three years, including a two-year minimum period of suspension.  In this matter, Respondent stipulated to twenty-nine counts of misconduct stemming from five client matters, including failing to perform legal services competently (five counts), failing to respond to reasonable client inquiries (five counts), failing to notify clients of significant developments (three counts), failing to refund unearned fees (five counts), aiding the </w:t>
      </w:r>
      <w:r>
        <w:lastRenderedPageBreak/>
        <w:t xml:space="preserve">unauthorized practice of law, failing to account (five counts), failing to cooperate in a State Bar investigation, failing to maintain a current address with the State Bar, failing to promptly pay out client funds (two counts), and failing to promptly return a client file.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ind w:firstLine="720"/>
      </w:pP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violated a statute, rule, or court order that would warrant the imposition of discipline.  (Rule 5.85(E)(1)(d).)  </w:t>
      </w:r>
    </w:p>
    <w:p>
      <w:pPr>
        <w:spacing w:line="480" w:lineRule="auto"/>
        <w:ind w:firstLine="720"/>
        <w:rPr>
          <w:b/>
        </w:rPr>
      </w:pPr>
      <w:r>
        <w:rPr>
          <w:b/>
        </w:rPr>
        <w:t>Case Number 12-O-15510 (Fenton Matter)</w:t>
      </w:r>
    </w:p>
    <w:p>
      <w:pPr>
        <w:spacing w:line="480" w:lineRule="auto"/>
        <w:ind w:firstLine="720"/>
      </w:pPr>
      <w:r>
        <w:t xml:space="preserve">Count One – Respondent willfully violated Business and Professions Code section 6068, subdivision (m) (failing to communicate), by failing to respond to multiple telephone messages and emails from her clients requesting status updates.  </w:t>
      </w:r>
    </w:p>
    <w:p>
      <w:pPr>
        <w:spacing w:line="480" w:lineRule="auto"/>
        <w:ind w:firstLine="720"/>
      </w:pPr>
      <w:r>
        <w:t xml:space="preserve">Count Two – Respondent willfully violated rule 3-700(A)(2) of the Rules of Professional Conduct (improper withdrawal from employment) by withdrawing from employment and failing to inform her clients that she would no longer be working on their legal matter.  </w:t>
      </w:r>
    </w:p>
    <w:p>
      <w:pPr>
        <w:spacing w:line="480" w:lineRule="auto"/>
        <w:ind w:firstLine="720"/>
      </w:pPr>
      <w:r>
        <w:t>Count Three – Respondent willfully violated rule 3-700(D)(1) of the Rules of Professional Conduct (failure to release file) by failing to release her clients’ file upon termination of employment.</w:t>
      </w:r>
    </w:p>
    <w:p>
      <w:pPr>
        <w:spacing w:line="480" w:lineRule="auto"/>
        <w:ind w:firstLine="720"/>
      </w:pPr>
      <w:r>
        <w:t>Count Four – Respondent willfully violated rule 3-700(D)(2) of the Rules of Professional Conduct (failure to refund unearned fees) by failing to refund unearned fees to her clients upon termination of employment.</w:t>
      </w:r>
    </w:p>
    <w:p>
      <w:pPr>
        <w:spacing w:line="480" w:lineRule="auto"/>
        <w:ind w:firstLine="720"/>
      </w:pPr>
      <w:r>
        <w:lastRenderedPageBreak/>
        <w:t xml:space="preserve">Count Five – Respondent willfully violated rule 4-100(B)(3) of the Rules of Professional Conduct (failure to account) by failing to provide her clients with an accounting of the fees advanced to Respondent.  </w:t>
      </w:r>
    </w:p>
    <w:p>
      <w:pPr>
        <w:spacing w:line="480" w:lineRule="auto"/>
        <w:ind w:firstLine="720"/>
      </w:pPr>
      <w:r>
        <w:t>Count Six – Respondent willfully violated Business and Professions Code section 6068, subdivision (i) (failing to cooperate in a State Bar investigation), by failing to respond to the State Bar investigator’s letters.</w:t>
      </w:r>
    </w:p>
    <w:p>
      <w:pPr>
        <w:spacing w:line="480" w:lineRule="auto"/>
        <w:ind w:firstLine="720"/>
        <w:rPr>
          <w:b/>
        </w:rPr>
      </w:pPr>
      <w:r>
        <w:rPr>
          <w:b/>
        </w:rPr>
        <w:t>Case Number 12-O-15877 (Edwards Matter)</w:t>
      </w:r>
    </w:p>
    <w:p>
      <w:pPr>
        <w:spacing w:line="480" w:lineRule="auto"/>
        <w:ind w:firstLine="720"/>
      </w:pPr>
      <w:r>
        <w:t xml:space="preserve">Count Seven – Respondent willfully violated rule 3-110(A) of the Rules of Professional Conduct (failure to competently perform legal services) by failing to file a Chapter 7 bankruptcy petition or perform any other legal services of value for her clients.  </w:t>
      </w:r>
    </w:p>
    <w:p>
      <w:pPr>
        <w:spacing w:line="480" w:lineRule="auto"/>
        <w:ind w:firstLine="720"/>
      </w:pPr>
      <w:r>
        <w:t xml:space="preserve">Count Eight – Respondent willfully violated Business and Professions Code section 6068, subdivision (m) (failing to communicate), by failing to respond to multiple telephone messages and emails from her clients requesting status updates.  </w:t>
      </w:r>
    </w:p>
    <w:p>
      <w:pPr>
        <w:spacing w:line="480" w:lineRule="auto"/>
        <w:ind w:firstLine="720"/>
      </w:pPr>
      <w:r>
        <w:t>Count Nine – Respondent willfully violated rule 3-700(D)(2) of the Rules of Professional Conduct (failure to refund unearned fees) by failing to refund unearned fees to her clients upon termination of employment.</w:t>
      </w:r>
    </w:p>
    <w:p>
      <w:pPr>
        <w:spacing w:line="480" w:lineRule="auto"/>
        <w:ind w:firstLine="720"/>
      </w:pPr>
      <w:r>
        <w:t>Count Ten – Respondent willfully violated rule 4-100(B)(4) of the Rules of Professional Conduct (failure to pay client funds) by failing to refund unused advanced costs to her clients upon termination of employment.</w:t>
      </w:r>
    </w:p>
    <w:p>
      <w:pPr>
        <w:spacing w:line="480" w:lineRule="auto"/>
        <w:ind w:firstLine="720"/>
        <w:rPr>
          <w:b/>
        </w:rPr>
      </w:pPr>
      <w:r>
        <w:rPr>
          <w:b/>
        </w:rPr>
        <w:t>Case Number 12-O-16380 (Pereyra Matter)</w:t>
      </w:r>
    </w:p>
    <w:p>
      <w:pPr>
        <w:spacing w:line="480" w:lineRule="auto"/>
        <w:ind w:firstLine="720"/>
      </w:pPr>
      <w:r>
        <w:t>Count Eleven – Respondent willfully violated rule 3-110(A) of the Rules of Professional Conduct (failure to competently perform legal services) by failing to file a Chapter 13 bankruptcy petition or perform any other legal services of value for her client.</w:t>
      </w:r>
    </w:p>
    <w:p>
      <w:pPr>
        <w:spacing w:line="480" w:lineRule="auto"/>
        <w:ind w:firstLine="720"/>
      </w:pPr>
      <w:r>
        <w:lastRenderedPageBreak/>
        <w:t>Count Twelve – Respondent willfully violated Business and Professions Code section 6068, subdivision (m) (failing to communicate), by failing to respond to multiple telephone messages and emails from her client requesting status updates.</w:t>
      </w:r>
    </w:p>
    <w:p>
      <w:pPr>
        <w:spacing w:line="480" w:lineRule="auto"/>
        <w:ind w:firstLine="720"/>
      </w:pPr>
      <w:r>
        <w:t>Count Thirteen – Respondent willfully violated rule 3-700(D)(2) of the Rules of Professional Conduct (failure to refund unearned fees) by failing to refund unearned fees to her client upon termination of employment.</w:t>
      </w:r>
    </w:p>
    <w:p>
      <w:pPr>
        <w:spacing w:line="480" w:lineRule="auto"/>
        <w:ind w:firstLine="720"/>
      </w:pPr>
      <w:r>
        <w:t>Count Fifteen</w:t>
      </w:r>
      <w:r>
        <w:rPr>
          <w:rStyle w:val="FootnoteReference"/>
        </w:rPr>
        <w:footnoteReference w:id="3"/>
      </w:r>
      <w:r>
        <w:t xml:space="preserve"> – Respondent willfully violated Business and Professions Code section 6068, subdivision (i) (failing to cooperate in a State Bar investigation), by failing to respond to the State Bar investigator’s letters.</w:t>
      </w:r>
    </w:p>
    <w:p>
      <w:pPr>
        <w:spacing w:line="480" w:lineRule="auto"/>
        <w:ind w:firstLine="720"/>
        <w:rPr>
          <w:b/>
        </w:rPr>
      </w:pPr>
      <w:r>
        <w:rPr>
          <w:b/>
        </w:rPr>
        <w:t>Case Number 12-J-17378 (Bankruptcy Court Matter)</w:t>
      </w:r>
    </w:p>
    <w:p>
      <w:pPr>
        <w:pStyle w:val="Header"/>
        <w:tabs>
          <w:tab w:val="clear" w:pos="4320"/>
          <w:tab w:val="clear" w:pos="8640"/>
        </w:tabs>
        <w:spacing w:line="480" w:lineRule="auto"/>
        <w:ind w:firstLine="720"/>
      </w:pPr>
      <w:r>
        <w:t>Count Sixteen – Section 6049.1(a) provides, in pertinent part, that a certified copy of a final order made by any court of record (or any body authorized by law or by rule of court to conduct disciplinary proceedings against attorneys of the United States) determining that a member of the State Bar committed professional misconduct in that jurisdiction shall be conclusive evidence that, subject to limited exceptions, the member is culpable of professional conduct in this state.  The court finds, as a matter of law, that Respondent’s culpability in the United States Bankruptcy Court of the Central District of California (Bankruptcy Court) proceeding would warrant the imposition of discipline in California under the laws or rules applicable in this State at the time of Respondent’s misconduct in the Bankruptcy Court proceeding, as follows.</w:t>
      </w:r>
    </w:p>
    <w:p>
      <w:pPr>
        <w:ind w:left="1440" w:hanging="720"/>
        <w:rPr>
          <w:i/>
        </w:rPr>
      </w:pPr>
      <w:r>
        <w:rPr>
          <w:i/>
        </w:rPr>
        <w:t>Rules of Professional Conduct, Rule 3-110(A) [Failure to Perform Legal Services Competently]</w:t>
      </w:r>
    </w:p>
    <w:p>
      <w:pPr>
        <w:ind w:left="1440" w:hanging="720"/>
        <w:rPr>
          <w:b/>
        </w:rPr>
      </w:pPr>
    </w:p>
    <w:p>
      <w:pPr>
        <w:spacing w:line="480" w:lineRule="auto"/>
        <w:ind w:firstLine="720"/>
      </w:pPr>
      <w:r>
        <w:rPr>
          <w:color w:val="000000"/>
        </w:rPr>
        <w:t xml:space="preserve">By not providing competent legal service, Respondent </w:t>
      </w:r>
      <w:r>
        <w:t>willfully violated rule 3-110(A) of the Rules of Professional Conduct</w:t>
      </w:r>
      <w:r>
        <w:rPr>
          <w:color w:val="000000"/>
        </w:rPr>
        <w:t>.</w:t>
      </w:r>
      <w:r>
        <w:rPr>
          <w:rStyle w:val="FootnoteReference"/>
          <w:color w:val="000000"/>
        </w:rPr>
        <w:footnoteReference w:id="4"/>
      </w:r>
    </w:p>
    <w:p>
      <w:pPr>
        <w:spacing w:line="480" w:lineRule="auto"/>
        <w:ind w:firstLine="720"/>
        <w:rPr>
          <w:i/>
        </w:rPr>
      </w:pPr>
      <w:r>
        <w:rPr>
          <w:i/>
        </w:rPr>
        <w:lastRenderedPageBreak/>
        <w:t>Business and Professions Code section 6103 [Failure to Obey a Court Order]</w:t>
      </w:r>
    </w:p>
    <w:p>
      <w:pPr>
        <w:spacing w:line="480" w:lineRule="auto"/>
        <w:ind w:firstLine="720"/>
      </w:pPr>
      <w:r>
        <w:rPr>
          <w:color w:val="000000"/>
        </w:rPr>
        <w:t xml:space="preserve">By failing to comply with disgorgement orders, Respondent failed to obey an order of the court, in willful violation of </w:t>
      </w:r>
      <w:r>
        <w:t xml:space="preserve">Business and Professions Code </w:t>
      </w:r>
      <w:r>
        <w:rPr>
          <w:color w:val="000000"/>
        </w:rPr>
        <w:t>section 6103.</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Respondent had actual notice of the proceedings prior to the entry of her default, as she discussed the matter in-person with the State Bar; was properly served with a copy of the NDC; and was warned by the State Bar that this matter would proceed by default; </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Jennifer Marie Urquizu be disbarred from the practice of law in the State of California and that her name be stricken from the roll of attorneys. </w:t>
      </w:r>
    </w:p>
    <w:p>
      <w:pPr>
        <w:rPr>
          <w:b/>
        </w:rPr>
      </w:pPr>
      <w:r>
        <w:rPr>
          <w:b/>
        </w:rPr>
        <w:br w:type="page"/>
      </w:r>
    </w:p>
    <w:p>
      <w:pPr>
        <w:spacing w:line="480" w:lineRule="auto"/>
        <w:rPr>
          <w:b/>
        </w:rPr>
      </w:pPr>
      <w:r>
        <w:rPr>
          <w:b/>
        </w:rPr>
        <w:lastRenderedPageBreak/>
        <w:t>Restitution</w:t>
      </w:r>
    </w:p>
    <w:p>
      <w:pPr>
        <w:spacing w:line="480" w:lineRule="auto"/>
        <w:ind w:firstLine="720"/>
      </w:pPr>
      <w:r>
        <w:t>The court also recommends that Respondent be ordered to make restitution to the following payees:</w:t>
      </w:r>
    </w:p>
    <w:p>
      <w:pPr>
        <w:ind w:left="1170" w:hanging="450"/>
      </w:pPr>
      <w:r>
        <w:t xml:space="preserve">(1)   Dave and Lori Fenton in the amount of $500 plus 10 percent interest per year from June 14, 2012; </w:t>
      </w:r>
    </w:p>
    <w:p>
      <w:pPr>
        <w:ind w:left="1170" w:hanging="450"/>
      </w:pPr>
    </w:p>
    <w:p>
      <w:pPr>
        <w:ind w:left="1170" w:hanging="450"/>
      </w:pPr>
      <w:r>
        <w:t>(2)   Renee and Todd Edwards in the amount of $1,205 plus 10 percent interest per year from June 26, 2012; and</w:t>
      </w:r>
    </w:p>
    <w:p>
      <w:pPr>
        <w:ind w:left="1170" w:hanging="450"/>
      </w:pPr>
    </w:p>
    <w:p>
      <w:pPr>
        <w:ind w:left="1170" w:hanging="450"/>
      </w:pPr>
      <w:r>
        <w:t>(3)   Maria Pereyra in the amount of $500 plus 10 percent interest per year from August 20, 2012.</w:t>
      </w:r>
    </w:p>
    <w:p>
      <w:pPr>
        <w:ind w:left="1170" w:hanging="450"/>
      </w:pPr>
    </w:p>
    <w:p>
      <w:pPr>
        <w:spacing w:line="480" w:lineRule="auto"/>
        <w:ind w:firstLine="720"/>
      </w:pPr>
      <w:r>
        <w:t>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Jennifer Marie Urquizu, State Bar number 231134, be involuntarily enrolled as </w:t>
      </w:r>
    </w:p>
    <w:p>
      <w:pPr>
        <w:spacing w:line="480" w:lineRule="auto"/>
      </w:pPr>
      <w:r>
        <w:t>/ / /</w:t>
      </w:r>
      <w:r>
        <w:br w:type="page"/>
      </w:r>
    </w:p>
    <w:p>
      <w:pPr>
        <w:spacing w:line="480" w:lineRule="auto"/>
      </w:pPr>
      <w:r>
        <w:lastRenderedPageBreak/>
        <w:t>an inactive member of the State Bar of California, effective three calendar days after the service of this decision and order. (Rule 5.111(D).)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December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NDC does not contain a Count Fourteen.</w:t>
      </w:r>
    </w:p>
  </w:footnote>
  <w:footnote w:id="4">
    <w:p>
      <w:pPr>
        <w:pStyle w:val="FootnoteText"/>
      </w:pPr>
      <w:r>
        <w:rPr>
          <w:rStyle w:val="FootnoteReference"/>
        </w:rPr>
        <w:footnoteRef/>
      </w:r>
      <w:r>
        <w:t xml:space="preserve"> The Bankruptcy Court has adopted the State Bar Act and Rules of Professional Conduct of the State Bar of California as standards of professional conduct; and any violation of such may be a basis for the imposition of discipline. (Local Civ. Rule 83-3.1.2.)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Ka4LOjDpTvbiteZi8C23O9u8Rj0=" w:salt="F+lT1zRWyxaO/N43DBm28Q=="/>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11455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2013-12-13T23:57:00Z</dcterms:created>
  <dcterms:modified xsi:type="dcterms:W3CDTF">2013-12-13T23:57:00Z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