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MARCH 24, 2014</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ANDREW PIERCE MULLALY,</w:t>
            </w:r>
          </w:p>
          <w:p>
            <w:pPr>
              <w:rPr>
                <w:b/>
                <w:bCs/>
              </w:rPr>
            </w:pPr>
          </w:p>
          <w:p>
            <w:pPr>
              <w:rPr>
                <w:b/>
                <w:bCs/>
              </w:rPr>
            </w:pPr>
            <w:r>
              <w:rPr>
                <w:b/>
                <w:bCs/>
              </w:rPr>
              <w:t>Member No.  185716,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12-O-15774-RAP</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Andrew Pierce Mullaly was charged with four counts of misconduct stemming from one client matter.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December 16, 1996, and has been a member since then.  </w:t>
      </w:r>
    </w:p>
    <w:p>
      <w:pPr>
        <w:spacing w:line="480" w:lineRule="auto"/>
        <w:rPr>
          <w:b/>
        </w:rPr>
      </w:pPr>
      <w:r>
        <w:rPr>
          <w:b/>
        </w:rPr>
        <w:t>Procedural Requirements Have Been Satisfied</w:t>
      </w:r>
    </w:p>
    <w:p>
      <w:pPr>
        <w:spacing w:line="480" w:lineRule="auto"/>
        <w:ind w:firstLine="720"/>
      </w:pPr>
      <w:r>
        <w:t xml:space="preserve">On April 11, 2013, the State Bar properly filed and served an NDC on respondent by certified mail, return receipt requested, at his membership records address.  The NDC notified respondent that his failure to participate in the proceeding would result in a disbarment recommendation.  (Rule 5.41.)  On April 16, 2013, the certified mail return receipt was received by the State Bar bearing an illegible signature.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calling him at his membership records telephone number, calling him at possible alternative telephone numbers identified in internet and Lexis/Nexis searches, sending an email to him at his official State Bar email address, sending emails to him at alternative email addresses identified in internet and Lexis/Nexis searches, checking for alternative contact information with his State Bar probation deputy, sending a copy of the NDC by first class mail to his official State Bar membership records address and alternative addresses identified in internet and Lexis/Nexis searches, faxing a copy of the NDC to his official State Bar fax number and an alternative fax number, checking Parker’s online directory for any additional contact information, and calling directory assistance.  </w:t>
      </w:r>
    </w:p>
    <w:p>
      <w:pPr>
        <w:spacing w:line="480" w:lineRule="auto"/>
        <w:ind w:firstLine="720"/>
      </w:pPr>
      <w:r>
        <w:lastRenderedPageBreak/>
        <w:t>Respondent failed to file a response to the NDC.  On June 11, 2013,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July 18, 2013.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180 days to file motion to set aside default].)  On February 21, 2014, the State Bar filed the petition for disbarment.  As required by rule 5.85(A), the State Bar reported in the petition that:  (1) it has had no contact with respondent since the default was entered; (2) respondent has no other disciplinary matters pending; (3) respondent has two prior records of discipline; and (4) the Client Security Fund has not made any payments resulting from respondent’s conduct.  Respondent did not respond to the petition for disbarment or move to set aside or vacate the default.  The case was submitted for decision on March 19, 2014.  </w:t>
      </w:r>
    </w:p>
    <w:p>
      <w:pPr>
        <w:pStyle w:val="Header"/>
        <w:tabs>
          <w:tab w:val="clear" w:pos="4320"/>
          <w:tab w:val="clear" w:pos="8640"/>
        </w:tabs>
        <w:spacing w:line="480" w:lineRule="auto"/>
        <w:ind w:firstLine="720"/>
      </w:pPr>
      <w:r>
        <w:t xml:space="preserve">Respondent has been disciplined on two prior occasions.  Effective April 25, 2011, respondent was privately reproved with conditions in State Bar Court case No. 08-O-13688.  In this single-client matter, respondent stipulated to failing to perform legal services with competence and failing to promptly respond to reasonable status inquiries.  </w:t>
      </w:r>
    </w:p>
    <w:p>
      <w:pPr>
        <w:pStyle w:val="Header"/>
        <w:tabs>
          <w:tab w:val="clear" w:pos="4320"/>
          <w:tab w:val="clear" w:pos="8640"/>
        </w:tabs>
        <w:spacing w:line="480" w:lineRule="auto"/>
        <w:ind w:firstLine="720"/>
      </w:pPr>
      <w:r>
        <w:t xml:space="preserve">Pursuant to a Supreme Court order filed on January 15, 2013, respondent was suspended for two years, the execution of which was stayed, and he was placed on probation for two years, including a 90-day period of actual suspension.  In this matter, respondent was found culpable of failing to comply with the conditions attached to his private reproval.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Number 12-O-15774 – The Garcia Matter</w:t>
      </w:r>
    </w:p>
    <w:p>
      <w:pPr>
        <w:spacing w:line="480" w:lineRule="auto"/>
        <w:ind w:firstLine="720"/>
      </w:pPr>
      <w:r>
        <w:t xml:space="preserve">Count One – respondent willfully violated rule 3-110(A) of the Rules of Professional Conduct (failure to competently perform legal services) by failing to perform the legal services for which he was retained for over two and a half years.  </w:t>
      </w:r>
    </w:p>
    <w:p>
      <w:pPr>
        <w:spacing w:line="480" w:lineRule="auto"/>
        <w:ind w:firstLine="720"/>
      </w:pPr>
      <w:r>
        <w:t>Count Two – respondent willfully violated Business and Professions Code section 6106 (moral turpitude) by misrepresenting to his client that he had filed a petition for probate on his client’s behalf.</w:t>
      </w:r>
    </w:p>
    <w:p>
      <w:pPr>
        <w:spacing w:line="480" w:lineRule="auto"/>
        <w:ind w:firstLine="720"/>
      </w:pPr>
      <w:r>
        <w:t xml:space="preserve">Count Three – respondent willfully violated Business and Professions Code section 6068, subdivision (a) (failure to comply with all laws – unauthorized practice) by holding himself out as entitled to practice law and actually practicing law when he was not an active member of the State Bar, in willful violation of Business and Professions Code sections 6125 and 6126.  </w:t>
      </w:r>
    </w:p>
    <w:p>
      <w:pPr>
        <w:spacing w:line="480" w:lineRule="auto"/>
        <w:ind w:firstLine="720"/>
      </w:pPr>
      <w:r>
        <w:t>Count Four – respondent willfully violated Business and Professions Code section 6068, subdivision (i) (failing to cooperate in a State Bar investigation), by failing to respond to the State Bar investigator’s letters.</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 as the State Bar properly served him with the NDC and made various efforts to locate respondent, including:  calling him at his membership records telephone number, calling him at possible alternative telephone numbers identified in internet and Lexis/Nexis searches, sending an email to him at his official State Bar email address, sending emails to him at alternative email addresses identified in internet and Lexis/Nexis searches, checking for alternative contact information with his State Bar probation deputy, sending a copy of the NDC by first class mail to his official State Bar membership records address and alternative addresses identified in internet and Lexis/Nexis searches, faxing a copy of the NDC to his official State Bar fax number and an alternative fax number, checking Parker’s online directory for any additional contact information, and calling directory assistance;</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spacing w:line="480" w:lineRule="auto"/>
      </w:pPr>
      <w:r>
        <w:t>/ / /</w:t>
      </w:r>
    </w:p>
    <w:p>
      <w:pPr>
        <w:rPr>
          <w:b/>
        </w:rPr>
      </w:pPr>
      <w:r>
        <w:rPr>
          <w:b/>
        </w:rPr>
        <w:br w:type="page"/>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Andrew Pierce Mullaly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Andrew Pierce Mullaly, State Bar number 185716,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March 21,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forms" w:enforcement="1" w:cryptProviderType="rsaFull" w:cryptAlgorithmClass="hash" w:cryptAlgorithmType="typeAny" w:cryptAlgorithmSid="4" w:cryptSpinCount="100000" w:hash="HSmukaTsm3zKUTn31rWE4Y8lnUc=" w:salt="SrT97gMfKB/CSrLLuslHcQ=="/>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8393</Characters>
  <Application>Microsoft Office Word</Application>
  <DocSecurity>0</DocSecurity>
  <Lines>164</Lines>
  <Paragraphs>66</Paragraphs>
  <ScaleCrop>false</ScaleCrop>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2014-04-29T23:11:00Z</dcterms:created>
  <dcterms:modified xsi:type="dcterms:W3CDTF">2014-04-29T23:11:00Z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