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24,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FREDERICK TAYTON DENCER,</w:t>
            </w:r>
          </w:p>
          <w:p>
            <w:pPr>
              <w:rPr>
                <w:b/>
                <w:bCs/>
              </w:rPr>
            </w:pPr>
          </w:p>
          <w:p>
            <w:pPr>
              <w:rPr>
                <w:b/>
                <w:bCs/>
              </w:rPr>
            </w:pPr>
            <w:r>
              <w:rPr>
                <w:b/>
                <w:bCs/>
              </w:rPr>
              <w:t>Member No.  98956,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12-O-16002-DFM</w:t>
            </w:r>
          </w:p>
          <w:p>
            <w:pPr>
              <w:rPr>
                <w:b/>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Frederick Tayton Dencer (Respondent) was charged with two counts of misconduct.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1, 1981, and has been a member since then.</w:t>
      </w:r>
    </w:p>
    <w:p>
      <w:pPr>
        <w:spacing w:line="480" w:lineRule="auto"/>
        <w:rPr>
          <w:b/>
        </w:rPr>
      </w:pPr>
      <w:r>
        <w:rPr>
          <w:b/>
        </w:rPr>
        <w:t>Procedural Requirements Have Been Satisfied</w:t>
      </w:r>
    </w:p>
    <w:p>
      <w:pPr>
        <w:spacing w:line="480" w:lineRule="auto"/>
        <w:ind w:firstLine="720"/>
      </w:pPr>
      <w:r>
        <w:t xml:space="preserve">On August 27, 2013, the State Bar filed and properly served the NDC on Respondent by certified mail, return receipt requested, to his membership records address.  The NDC notified Respondent that his failure to participate in the proceeding would result in a disbarment recommendation.  (Rule 5.41.)  The NDC was not subsequently returned by the United States Postal Service. </w:t>
      </w:r>
    </w:p>
    <w:p>
      <w:pPr>
        <w:tabs>
          <w:tab w:val="left" w:pos="0"/>
        </w:tabs>
        <w:spacing w:line="480" w:lineRule="auto"/>
        <w:ind w:firstLine="720"/>
      </w:pPr>
      <w:r>
        <w:t>Thereafter, the State Bar learned that Respondent was being held in custody in Montgomery County, Alabama.  The State Bar subsequently (1) sent a courtesy copy of the NDC to Respondent at the Mac Sim Butler Detention Facility in Montgomery, Alabama; (2) received a telephone call from an individual who identified himself as Respondent’s son, Luke;</w:t>
      </w:r>
      <w:r>
        <w:rPr>
          <w:rStyle w:val="FootnoteReference"/>
        </w:rPr>
        <w:footnoteReference w:id="3"/>
      </w:r>
      <w:r>
        <w:t xml:space="preserve"> (3) emailed a copy of the NDC to Luke; (4) sent a follow-up email to Luke to see if Respondent had hired an attorney; (5) received a telephone call from Luke advising that he was still seeking counsel for Respondent; and (6) calling Luke and informing him that no one had appeared on Respondent’s behalf at the initial status conference.  </w:t>
      </w:r>
    </w:p>
    <w:p>
      <w:pPr>
        <w:spacing w:line="480" w:lineRule="auto"/>
        <w:ind w:firstLine="720"/>
        <w:rPr>
          <w:b/>
        </w:rPr>
      </w:pPr>
      <w:r>
        <w:t xml:space="preserve">Respondent failed to file a response to the NDC.  On October 24, 2013, the State Bar filed and properly served a motion for entry of default on Respondent by certified mail, return </w:t>
      </w:r>
      <w:r>
        <w:lastRenderedPageBreak/>
        <w:t>receipt requested, at his membership records address.</w:t>
      </w:r>
      <w:r>
        <w:rPr>
          <w:rStyle w:val="FootnoteReference"/>
        </w:rPr>
        <w:footnoteReference w:id="4"/>
      </w:r>
      <w:r>
        <w:t xml:space="preserve">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November 14, 2013.</w:t>
      </w:r>
      <w:r>
        <w:rPr>
          <w:b/>
        </w:rPr>
        <w:t xml:space="preserve"> </w:t>
      </w:r>
      <w:r>
        <w:t xml:space="preserve"> The order entering the default was properly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He has remained inactively enrolled since that time.  </w:t>
      </w:r>
    </w:p>
    <w:p>
      <w:pPr>
        <w:spacing w:line="480" w:lineRule="auto"/>
        <w:ind w:firstLine="720"/>
      </w:pPr>
      <w:r>
        <w:t>Respondent also did not seek to have his default set aside or vacated.  (Rule 5.83(C)(1) [attorney has 180 days to file motion to set aside default].)  On July 14, 2014, the State Bar filed and properly served the petition for disbarment on Respondent by certified mail, return receipt requested, to his membership records address.</w:t>
      </w:r>
      <w:r>
        <w:rPr>
          <w:rStyle w:val="FootnoteReference"/>
        </w:rPr>
        <w:footnoteReference w:id="6"/>
      </w:r>
      <w:r>
        <w:t xml:space="preserve">  As required by rule 5.85(A), the State Bar reported in the petition that (1) Respondent has not contacted the State Bar after his default was entered on November 14, 2013; (2) there are no other disciplinary matters pending against Respondent; (3) Respondent has no prior record of discipline; and (4) the Client Security Fund has not made any payment resulting from Respondent’s conduct.  Respondent did not respond to the petition for disbarment or move to set aside or vacate the default.  The case was submitted for decision on September 10, 2014.</w:t>
      </w:r>
    </w:p>
    <w:p>
      <w:pPr>
        <w:rPr>
          <w:b/>
        </w:rPr>
      </w:pPr>
      <w:r>
        <w:rPr>
          <w:b/>
        </w:rPr>
        <w:br w:type="page"/>
      </w:r>
    </w:p>
    <w:p>
      <w:pPr>
        <w:spacing w:line="480" w:lineRule="auto"/>
        <w:rPr>
          <w:b/>
        </w:rPr>
      </w:pPr>
      <w:r>
        <w:rPr>
          <w:b/>
        </w:rPr>
        <w:lastRenderedPageBreak/>
        <w:t>The Admitted Factual Allegations Warrant the Imposition of Discipline</w:t>
      </w: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12-O-16002</w:t>
      </w:r>
    </w:p>
    <w:p>
      <w:pPr>
        <w:spacing w:line="480" w:lineRule="auto"/>
        <w:ind w:firstLine="720"/>
      </w:pPr>
      <w:r>
        <w:t xml:space="preserve">Count One - Respondent willfully violated Business and Professions Code section 6106, (moral turpitude – NSF checks) by issuing five checks totaling $65,000 when he knew or should have known there were insufficient funds to pay the checks.  </w:t>
      </w:r>
    </w:p>
    <w:p>
      <w:pPr>
        <w:spacing w:line="480" w:lineRule="auto"/>
        <w:ind w:firstLine="720"/>
      </w:pPr>
      <w:r>
        <w:t xml:space="preserve">Count Two - Respondent willfully violated Business and Professions Code section 6068, subdivision (i) (failing to cooperate/participate in a disciplinary investigation) by failing to provide a written response to the allegations in a disciplinary investigation or otherwise cooperate in the investigation of this matter after being contacted by the State Bar.  </w:t>
      </w:r>
    </w:p>
    <w:p>
      <w:pPr>
        <w:spacing w:line="480" w:lineRule="auto"/>
        <w:rPr>
          <w:b/>
        </w:rPr>
      </w:pPr>
      <w:r>
        <w:rPr>
          <w:b/>
        </w:rPr>
        <w:t>Disbarment is Recommended</w:t>
      </w:r>
    </w:p>
    <w:p>
      <w:pPr>
        <w:spacing w:line="480" w:lineRule="auto"/>
        <w:ind w:firstLine="720"/>
      </w:pPr>
      <w:r>
        <w:t>Based on the above, the court concludes that the requirements of rule 5.85(E) have been satisfied, and Respondent’s disbarment is recommended.  In particular:</w:t>
      </w:r>
    </w:p>
    <w:p>
      <w:pPr>
        <w:spacing w:line="480" w:lineRule="auto"/>
        <w:ind w:firstLine="720"/>
      </w:pPr>
      <w:r>
        <w:t xml:space="preserve">(1) the NDC was properly served on Respondent under rule 5.25; </w:t>
      </w:r>
    </w:p>
    <w:p>
      <w:pPr>
        <w:tabs>
          <w:tab w:val="left" w:pos="0"/>
        </w:tabs>
        <w:spacing w:line="480" w:lineRule="auto"/>
        <w:ind w:firstLine="720"/>
        <w:rPr>
          <w:b/>
        </w:rPr>
      </w:pPr>
      <w:r>
        <w:t xml:space="preserve">(2) reasonable diligence was used to notify Respondent of the proceedings prior to the entry of his default, as the State Bar (a) filed and properly served the NDC on Respondent by certified mail, return receipt requested, at his membership records address; (b) sent a courtesy copy of the NDC to Respondent at the Mac Sim Butler Detention Facility in Montgomery, Alabama; (c) confirmed with Respondent’s son that Respondent had received a copy of the NDC; (d) emailed a copy of the NDC to Respondent’s son; (e) sent a follow-up email to </w:t>
      </w:r>
      <w:r>
        <w:lastRenderedPageBreak/>
        <w:t>Respondent’s son to see if Respondent had hired an attorney; and (f) called Respondent’s son and informed him that no one had appeared on Respondent’s behalf at the initial status conference;</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ind w:firstLine="720"/>
      </w:pPr>
      <w:r>
        <w:t>The court recommends that respondent Frederick Tayton Dencer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br w:type="page"/>
      </w:r>
    </w:p>
    <w:p>
      <w:pPr>
        <w:spacing w:line="480" w:lineRule="auto"/>
        <w:jc w:val="center"/>
        <w:rPr>
          <w:b/>
        </w:rPr>
      </w:pPr>
      <w:r>
        <w:rPr>
          <w:b/>
        </w:rPr>
        <w:lastRenderedPageBreak/>
        <w:t>ORDER OF INVOLUNTARY INACTIVE ENROLLMENT</w:t>
      </w:r>
    </w:p>
    <w:p>
      <w:pPr>
        <w:spacing w:line="480" w:lineRule="auto"/>
        <w:ind w:firstLine="720"/>
      </w:pPr>
      <w:r>
        <w:t>In accordance with Business and Professions Code section 6007, subdivision (c)(4), the court orders that Frederick Tayton Dencer, State Bar number 98956,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Luke advised the State Bar that Respondent received the courtesy copy of the NDC sent to the Mac Sim Butler Detention Facility.</w:t>
      </w:r>
    </w:p>
  </w:footnote>
  <w:footnote w:id="4">
    <w:p>
      <w:pPr>
        <w:pStyle w:val="FootnoteText"/>
      </w:pPr>
      <w:r>
        <w:rPr>
          <w:rStyle w:val="FootnoteReference"/>
        </w:rPr>
        <w:footnoteRef/>
      </w:r>
      <w:r>
        <w:t xml:space="preserve"> A courtesy copy was also sent to Respondent at the Mac Sim Butler Detention Facility.  </w:t>
      </w:r>
    </w:p>
  </w:footnote>
  <w:footnote w:id="5">
    <w:p>
      <w:pPr>
        <w:pStyle w:val="FootnoteText"/>
      </w:pPr>
      <w:r>
        <w:rPr>
          <w:rStyle w:val="FootnoteReference"/>
        </w:rPr>
        <w:footnoteRef/>
      </w:r>
      <w:r>
        <w:t xml:space="preserve"> A copy of this order was also served on Respondent at the Mac Sim Butler Detention Facility.</w:t>
      </w:r>
    </w:p>
  </w:footnote>
  <w:footnote w:id="6">
    <w:p>
      <w:pPr>
        <w:pStyle w:val="FootnoteText"/>
      </w:pPr>
      <w:r>
        <w:rPr>
          <w:rStyle w:val="FootnoteReference"/>
        </w:rPr>
        <w:footnoteRef/>
      </w:r>
      <w:r>
        <w:t xml:space="preserve"> A courtesy copy was again sent to Respondent at the Mac Sim Butler Detention Facility.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YLQ8dc/VOzKowtXZOteBsnOwync=" w:salt="6A5zgUqKw1Sy8dI+TUPfyQ=="/>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2014-10-30T23:33:00Z</dcterms:created>
  <dcterms:modified xsi:type="dcterms:W3CDTF">2014-10-30T23:33:00Z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