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MAY 17, 2012</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 xml:space="preserve">HEARING DEPARTMENT - </w:t>
      </w:r>
      <w:r>
        <w:rPr>
          <w:rFonts w:eastAsiaTheme="minorEastAsia"/>
          <w:b/>
          <w:bCs/>
        </w:rPr>
        <w:t xml:space="preserve">LOS ANGELES </w:t>
      </w:r>
      <w:r>
        <w:rPr>
          <w:b/>
        </w:rPr>
        <w:t xml:space="preserve"> </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HAMID TAGHIZADEH,</w:t>
            </w:r>
          </w:p>
          <w:p>
            <w:pPr>
              <w:tabs>
                <w:tab w:val="center" w:pos="4320"/>
                <w:tab w:val="right" w:pos="8640"/>
              </w:tabs>
              <w:rPr>
                <w:b/>
              </w:rPr>
            </w:pPr>
          </w:p>
          <w:p>
            <w:pPr>
              <w:tabs>
                <w:tab w:val="center" w:pos="4320"/>
                <w:tab w:val="right" w:pos="8640"/>
              </w:tabs>
              <w:rPr>
                <w:b/>
              </w:rPr>
            </w:pPr>
            <w:r>
              <w:rPr>
                <w:b/>
              </w:rPr>
              <w:t>Member No. 194627,</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12-PM-12194-RAH (</w:t>
            </w:r>
            <w:r>
              <w:rPr>
                <w:b/>
              </w:rPr>
              <w:t>S192915)</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ORDER GRANTING MOTION TO REVOKE PROBATION AND FOR INVOLUNTARY INACTIVE ENROLLMENT</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probation revocation proceeding, respondent</w:t>
      </w:r>
      <w:r>
        <w:rPr>
          <w:b/>
        </w:rPr>
        <w:t xml:space="preserve"> Hamid Taghizadeh</w:t>
      </w:r>
      <w:r>
        <w:t xml:space="preserve"> is charged with violating his probation conditions imposed by the California Supreme Court.  The Office of Probation of the State Bar of California (Office of Probation) seeks to revoke his probation, to impose upon respondent the entire period of suspension previously stayed, and to involuntarily enroll respondent as an inactive member of the State Bar.</w:t>
      </w:r>
    </w:p>
    <w:p>
      <w:pPr>
        <w:spacing w:line="480" w:lineRule="auto"/>
      </w:pPr>
      <w:r>
        <w:tab/>
        <w:t xml:space="preserve">The court finds, by preponderance of the evidence, that respondent has violated his probation conditions and hereby grants the motion.  Therefore, the court orders that respondent be involuntarily enrolled as an inactive member of the State Bar.  The court also recommends, among other things, that respondent's probation be revoked, that the previously stayed, one-year suspension be lifted, and that he be actually suspended for one year. </w:t>
      </w:r>
    </w:p>
    <w:p>
      <w:pPr>
        <w:spacing w:line="480" w:lineRule="auto"/>
      </w:pPr>
    </w:p>
    <w:p>
      <w:pPr>
        <w:spacing w:line="480" w:lineRule="auto"/>
        <w:jc w:val="center"/>
        <w:rPr>
          <w:u w:val="single"/>
        </w:rPr>
      </w:pPr>
      <w:r>
        <w:rPr>
          <w:b/>
          <w:u w:val="single"/>
        </w:rPr>
        <w:lastRenderedPageBreak/>
        <w:t>Significant Procedural History</w:t>
      </w:r>
    </w:p>
    <w:p>
      <w:pPr>
        <w:spacing w:line="480" w:lineRule="auto"/>
        <w:ind w:firstLine="720"/>
      </w:pPr>
      <w:r>
        <w:t xml:space="preserve"> On March 22, 2012, the Office of Probation filed and properly served a motion to revoke probation on respondent.  The motion was mailed to respondent’s official membership records address.  Respondent did not file a response within 20 days of the service of the motion.  </w:t>
      </w:r>
    </w:p>
    <w:p>
      <w:pPr>
        <w:spacing w:line="480" w:lineRule="auto"/>
        <w:ind w:firstLine="720"/>
      </w:pPr>
      <w:r>
        <w:t>On April 2, 2012, the Office of Probation requested the court to take judicial notice of the certified copy of respondent's prior record of discipline.  The motion is hereby granted, effective, nunc pro tunc, as of April 17, 2012.  This matter was also taken under submission on April 17, 2012.</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March 27, 1998, and has been a member of the State Bar of California at all times since that date. </w:t>
      </w:r>
    </w:p>
    <w:p>
      <w:pPr>
        <w:tabs>
          <w:tab w:val="left" w:pos="-1440"/>
        </w:tabs>
        <w:spacing w:line="480" w:lineRule="auto"/>
        <w:ind w:left="720" w:hanging="720"/>
        <w:rPr>
          <w:b/>
          <w:bCs/>
        </w:rPr>
      </w:pPr>
      <w:r>
        <w:rPr>
          <w:b/>
          <w:bCs/>
        </w:rPr>
        <w:tab/>
        <w:t>Facts</w:t>
      </w:r>
    </w:p>
    <w:p>
      <w:pPr>
        <w:spacing w:line="480" w:lineRule="auto"/>
        <w:ind w:firstLine="720"/>
      </w:pPr>
      <w:r>
        <w:t>On July 14, 2011, in Supreme Court case No. S192915, the California Supreme Court ordered, among other things, that:</w:t>
      </w:r>
    </w:p>
    <w:p>
      <w:pPr>
        <w:pStyle w:val="ListParagraph"/>
        <w:numPr>
          <w:ilvl w:val="0"/>
          <w:numId w:val="12"/>
        </w:numPr>
        <w:spacing w:line="480" w:lineRule="auto"/>
      </w:pPr>
      <w:r>
        <w:t>Respondent be suspended from the practice of law for one year, that execution of the suspension be stayed, and that he be placed on probation for two years, as recommended by the Hearing Department of the State Bar Court in its order approving stipulation filed March 22, 2011 (State Bar Court case Nos. 07-O-13401 et al.); and</w:t>
      </w:r>
    </w:p>
    <w:p>
      <w:pPr>
        <w:pStyle w:val="ListParagraph"/>
        <w:numPr>
          <w:ilvl w:val="0"/>
          <w:numId w:val="12"/>
        </w:numPr>
        <w:spacing w:line="480" w:lineRule="auto"/>
      </w:pPr>
      <w:r>
        <w:t>Respondent comply, among other things, with the following probation conditions:</w:t>
      </w:r>
    </w:p>
    <w:p>
      <w:pPr>
        <w:pStyle w:val="ListParagraph"/>
        <w:numPr>
          <w:ilvl w:val="0"/>
          <w:numId w:val="11"/>
        </w:numPr>
        <w:spacing w:line="480" w:lineRule="auto"/>
      </w:pPr>
      <w:r>
        <w:t>Within 30 days from the effective date of discipline (by September 12, 2011), he must contact the Office of Probation and schedule a meeting with his assigned probation deputy to discuss the probation conditions; and</w:t>
      </w:r>
    </w:p>
    <w:p>
      <w:pPr>
        <w:pStyle w:val="ListParagraph"/>
        <w:numPr>
          <w:ilvl w:val="0"/>
          <w:numId w:val="11"/>
        </w:numPr>
        <w:spacing w:line="480" w:lineRule="auto"/>
      </w:pPr>
      <w:r>
        <w:t>During the period of probation, respondent was required to submit a written report to the Office of Probation on January 10, April 10, July 10 and October 10 of each year, or part thereof, during which the probation is in effect, stating under penalty of perjury that he has complied with provisions of the State Bar Act and Rules of Professional Conduct during said period (quarterly report).</w:t>
      </w:r>
    </w:p>
    <w:p>
      <w:pPr>
        <w:pStyle w:val="ListParagraph"/>
        <w:spacing w:line="480" w:lineRule="auto"/>
        <w:ind w:left="0" w:firstLine="720"/>
      </w:pPr>
      <w:r>
        <w:t>The Supreme Court order became effective on August 13, 2011, 30 days after it was entered.  (Cal. Rules of Court, rule 9.18(a).)  It was properly served on respondent.</w:t>
      </w:r>
      <w:r>
        <w:rPr>
          <w:rStyle w:val="FootnoteReference"/>
        </w:rPr>
        <w:footnoteReference w:id="2"/>
      </w:r>
    </w:p>
    <w:p>
      <w:pPr>
        <w:spacing w:line="480" w:lineRule="auto"/>
        <w:ind w:firstLine="720"/>
      </w:pPr>
      <w:r>
        <w:t xml:space="preserve">On July 25 and September 14, 2011, the Office of Probation wrote a letter to respondent, properly sent to him at his official address, reminding him of certain terms and conditions of his suspension and the probation imposed pursuant to the Supreme Court’s order and enclosing, among other things, copies of the Supreme Court's order, the probation conditions portion of the stipulation, and instruction sheets or forms to use in submitting quarterly reports.  </w:t>
      </w:r>
    </w:p>
    <w:p>
      <w:pPr>
        <w:spacing w:line="480" w:lineRule="auto"/>
        <w:ind w:firstLine="720"/>
      </w:pPr>
      <w:r>
        <w:t>The letters were not returned as undeliverable.</w:t>
      </w:r>
    </w:p>
    <w:p>
      <w:pPr>
        <w:spacing w:line="480" w:lineRule="auto"/>
        <w:ind w:firstLine="720"/>
      </w:pPr>
      <w:r>
        <w:t>Respondent was to contact the Office of Probation by September 12, 2011, to schedule a meeting with a probation deputy.  He did not do so until October 20, 2011, more than a month later.  He met with probation deputy Terese Laubscher on the same day.</w:t>
      </w:r>
    </w:p>
    <w:p>
      <w:pPr>
        <w:spacing w:line="480" w:lineRule="auto"/>
        <w:ind w:firstLine="720"/>
      </w:pPr>
      <w:r>
        <w:t>However, he has failed to file his first two quarterly reports due October 10, 2011, and January 10, 2012.</w:t>
      </w:r>
    </w:p>
    <w:p>
      <w:pPr>
        <w:spacing w:line="480" w:lineRule="auto"/>
        <w:ind w:firstLine="720"/>
      </w:pPr>
      <w:r>
        <w:t xml:space="preserve">Respondent does not have a telephone number on his official membership records.  (Bus. &amp; Prof. Code, § 6002.1, subd. (a).)  On December 20, 2011, Laubscher attempted to telephone respondent at a private cell number, which was provided by respondent.  She was unsuccessful in leaving a message for respondent because the outgoing phone message mailbox was full.  </w:t>
      </w:r>
    </w:p>
    <w:p>
      <w:pPr>
        <w:spacing w:line="480" w:lineRule="auto"/>
        <w:ind w:firstLine="720"/>
      </w:pPr>
      <w:r>
        <w:t>As of March 22, 2012, the Office of Probation has not received any contact or motion from respondent.</w:t>
      </w:r>
    </w:p>
    <w:p>
      <w:pPr>
        <w:spacing w:line="480" w:lineRule="auto"/>
        <w:rPr>
          <w:b/>
        </w:rPr>
      </w:pPr>
      <w:r>
        <w:rPr>
          <w:b/>
        </w:rPr>
        <w:tab/>
        <w:t>Conclusions</w:t>
      </w:r>
    </w:p>
    <w:p>
      <w:pPr>
        <w:spacing w:line="480" w:lineRule="auto"/>
        <w:ind w:firstLine="720"/>
      </w:pPr>
      <w:r>
        <w:t>Section 6093, subdivision (b), provides that violation of a probation condition constitutes cause for revocation of any probation then pending and may constitute cause for discipline.  Section 6093, subdivision (c), provides that the standard of proof is the preponderance of the evidence.  Bad faith is not a requirement for a finding of culpability in a probation violation matter.  Instead, a general purpose or willingness to commit an act or permit an omission is sufficie</w:t>
      </w:r>
      <w:r>
        <w:tab/>
        <w:t>nt.  (</w:t>
      </w:r>
      <w:r>
        <w:rPr>
          <w:i/>
          <w:iCs/>
        </w:rPr>
        <w:t>In the Matter of Potack</w:t>
      </w:r>
      <w:r>
        <w:t xml:space="preserve"> (Review Dept. 1991) 1 Cal. State Bar Ct. Rptr. 525, 536.)  </w:t>
      </w:r>
    </w:p>
    <w:p>
      <w:pPr>
        <w:spacing w:line="480" w:lineRule="auto"/>
        <w:ind w:firstLine="720"/>
      </w:pPr>
      <w:r>
        <w:t>Respondent did not comply with the conditions of probation, as ordered by the Supreme Court in S192915:  (1) respondent was more than a month late in contacting the Office of Probation to schedule his meeting and in conducting the meeting; and (2) respondent has failed to file his first two quarterly reports due October 10, 2011, and January 10, 2012.</w:t>
      </w:r>
    </w:p>
    <w:p>
      <w:pPr>
        <w:spacing w:line="480" w:lineRule="auto"/>
        <w:ind w:firstLine="720"/>
      </w:pPr>
      <w:r>
        <w:t>As a result, the revocation of respondent’s probation in California Supreme Court order No. S192915 is warranted.</w:t>
      </w:r>
    </w:p>
    <w:p>
      <w:pPr>
        <w:spacing w:line="480" w:lineRule="auto"/>
        <w:contextualSpacing/>
      </w:pPr>
      <w:r>
        <w:rPr>
          <w:b/>
        </w:rPr>
        <w:t>Aggravation</w:t>
      </w:r>
      <w:r>
        <w:rPr>
          <w:rStyle w:val="FootnoteReference"/>
        </w:rPr>
        <w:footnoteReference w:id="3"/>
      </w:r>
    </w:p>
    <w:p>
      <w:pPr>
        <w:spacing w:line="480" w:lineRule="auto"/>
        <w:ind w:left="720"/>
        <w:rPr>
          <w:b/>
        </w:rPr>
      </w:pPr>
      <w:r>
        <w:rPr>
          <w:b/>
        </w:rPr>
        <w:t>Prior Record of Discipline (Std. 1.2(b)(i).)</w:t>
      </w:r>
    </w:p>
    <w:p>
      <w:pPr>
        <w:spacing w:line="480" w:lineRule="auto"/>
        <w:ind w:firstLine="720"/>
      </w:pPr>
      <w:r>
        <w:t xml:space="preserve">Respondent has one prior record of discipline.  </w:t>
      </w:r>
    </w:p>
    <w:p>
      <w:pPr>
        <w:spacing w:line="480" w:lineRule="auto"/>
        <w:ind w:firstLine="720"/>
      </w:pPr>
      <w:r>
        <w:t xml:space="preserve">In the underlying matter, respondent stipulated to culpability in four client matters for failing to perform services, failing to communicate with his client, failing to return client file, failing to obey a court order, and failing to promptly pay client funds.  He was ordered suspended for one year, stayed, and placed on probation for two years.  (Supreme Court case No. S192915, effective August 13, 2011; State Bar Court case Nos. 07-O-13401 et al.)  </w:t>
      </w:r>
    </w:p>
    <w:p>
      <w:pPr>
        <w:ind w:left="720"/>
        <w:rPr>
          <w:b/>
        </w:rPr>
      </w:pPr>
      <w:r>
        <w:rPr>
          <w:b/>
        </w:rPr>
        <w:t>Multiple Acts/Pattern of Misconduct (Std. 1.2(b)(ii).)</w:t>
      </w:r>
    </w:p>
    <w:p>
      <w:pPr>
        <w:ind w:left="720"/>
        <w:rPr>
          <w:b/>
          <w:sz w:val="22"/>
          <w:szCs w:val="22"/>
        </w:rPr>
      </w:pPr>
    </w:p>
    <w:p>
      <w:pPr>
        <w:spacing w:line="480" w:lineRule="auto"/>
        <w:ind w:firstLine="720"/>
      </w:pPr>
      <w:r>
        <w:t xml:space="preserve">Respondent committed multiple acts of wrongdoing, including failing to timely contact the Office of Probation and failing to file his first two quarterly reports.    </w:t>
      </w:r>
    </w:p>
    <w:p>
      <w:pPr>
        <w:ind w:left="720"/>
        <w:rPr>
          <w:b/>
        </w:rPr>
      </w:pPr>
      <w:r>
        <w:rPr>
          <w:b/>
        </w:rPr>
        <w:t xml:space="preserve">Indifference Toward Rectification/Atonement (Std. 1.2(b)(v).) </w:t>
      </w:r>
    </w:p>
    <w:p>
      <w:pPr>
        <w:ind w:left="720"/>
        <w:rPr>
          <w:b/>
        </w:rPr>
      </w:pPr>
    </w:p>
    <w:p>
      <w:pPr>
        <w:spacing w:line="480" w:lineRule="auto"/>
        <w:ind w:firstLine="720"/>
      </w:pPr>
      <w:r>
        <w:t>An attorney’s continued failure to comply with his probation conditions after being notified of that noncompliance is properly considered a substantial aggravating circumstance.  It demonstrates indifference toward rectification of or atonement for the consequences of one’s misconduct.  (</w:t>
      </w:r>
      <w:r>
        <w:rPr>
          <w:i/>
          <w:iCs/>
        </w:rPr>
        <w:t>In the Matter of Tiernan</w:t>
      </w:r>
      <w:r>
        <w:t xml:space="preserve"> (Review Dept. 1996) 3 Cal. State Bar Ct. Rptr. 523, 530.)  Although the motion to revoke his probation was filed in March 2012, which put respondent on notice that his probation status was in jeopardy, respondent still failed to file the quarterly reports.</w:t>
      </w:r>
    </w:p>
    <w:p>
      <w:pPr>
        <w:ind w:left="720"/>
        <w:rPr>
          <w:b/>
        </w:rPr>
      </w:pPr>
      <w:r>
        <w:rPr>
          <w:b/>
        </w:rPr>
        <w:t xml:space="preserve">Lack of Candor/Cooperation to Victims/State Bar (Std. 1.2(b)(vi).) </w:t>
      </w:r>
    </w:p>
    <w:p>
      <w:pPr>
        <w:ind w:left="720"/>
        <w:rPr>
          <w:b/>
        </w:rPr>
      </w:pPr>
    </w:p>
    <w:p>
      <w:pPr>
        <w:spacing w:line="480" w:lineRule="auto"/>
        <w:ind w:firstLine="720"/>
      </w:pPr>
      <w:r>
        <w:t xml:space="preserve">Respondent’s failure to participate in this proceeding is also an aggravating factor.  </w:t>
      </w:r>
    </w:p>
    <w:p>
      <w:pPr>
        <w:spacing w:line="480" w:lineRule="auto"/>
        <w:contextualSpacing/>
      </w:pPr>
      <w:r>
        <w:rPr>
          <w:b/>
        </w:rPr>
        <w:t>Mitigation</w:t>
      </w:r>
    </w:p>
    <w:p>
      <w:pPr>
        <w:spacing w:line="480" w:lineRule="auto"/>
        <w:contextualSpacing/>
      </w:pPr>
      <w:r>
        <w:tab/>
        <w:t>Since respondent did not file a response to the probation revocation motion, no evidence in mitigation was presented and none is apparent from the record.  (Std. 1.2(e).)</w:t>
      </w:r>
    </w:p>
    <w:p>
      <w:pPr>
        <w:spacing w:line="480" w:lineRule="auto"/>
        <w:contextualSpacing/>
        <w:jc w:val="center"/>
      </w:pPr>
      <w:r>
        <w:rPr>
          <w:b/>
          <w:u w:val="single"/>
        </w:rPr>
        <w:t>Discussion</w:t>
      </w:r>
    </w:p>
    <w:p>
      <w:pPr>
        <w:spacing w:line="480" w:lineRule="auto"/>
        <w:ind w:firstLine="720"/>
      </w:pPr>
      <w:r>
        <w:t>Section 6093 authorizes the revocation of probation for a violation of a probation condition, and standard 1.7 requires that the court recommend a greater discipline in this matter than that imposed in the underlying disciplinary proceeding, but any actual suspension cannot exceed the period of stayed suspension imposed in the underlying proceeding.  (Rules Proc. of State Bar, rule 5.312.)  The extent of the discipline to recommend is dependent, in part, on the seriousness of the probation violation and respondent’s recognition of his misconduct and his efforts to comply with the conditions.  (</w:t>
      </w:r>
      <w:r>
        <w:rPr>
          <w:i/>
          <w:iCs/>
        </w:rPr>
        <w:t>In the Matter of Potack</w:t>
      </w:r>
      <w:r>
        <w:t xml:space="preserve"> (Review Dept. 1991) 1 Cal. State Bar Ct. Rptr. 525, 540.)</w:t>
      </w:r>
    </w:p>
    <w:p>
      <w:pPr>
        <w:spacing w:line="480" w:lineRule="auto"/>
        <w:ind w:firstLine="720"/>
      </w:pPr>
      <w:r>
        <w:t>In the underlying matter, respondent suffered serious health issues.  But, here, since he did not participate in this proceeding, the court has no information about the underlying cause of his probation violations or of any mitigating circumstances surrounding his misconduct.</w:t>
      </w:r>
    </w:p>
    <w:p>
      <w:pPr>
        <w:spacing w:line="480" w:lineRule="auto"/>
        <w:ind w:firstLine="720"/>
      </w:pPr>
      <w:r>
        <w:t xml:space="preserve">The Office of Probation requested that respondent be actually suspended for the full amount of stayed suspension.  The court agrees.  </w:t>
      </w:r>
    </w:p>
    <w:p>
      <w:pPr>
        <w:spacing w:line="480" w:lineRule="auto"/>
        <w:contextualSpacing/>
        <w:jc w:val="center"/>
      </w:pPr>
      <w:r>
        <w:rPr>
          <w:b/>
          <w:u w:val="single"/>
        </w:rPr>
        <w:t>Recommendations</w:t>
      </w:r>
    </w:p>
    <w:p>
      <w:pPr>
        <w:spacing w:line="480" w:lineRule="auto"/>
      </w:pPr>
      <w:r>
        <w:tab/>
        <w:t>The court recommends that the probation of respondent</w:t>
      </w:r>
      <w:r>
        <w:rPr>
          <w:bCs/>
        </w:rPr>
        <w:t xml:space="preserve"> </w:t>
      </w:r>
      <w:r>
        <w:rPr>
          <w:b/>
        </w:rPr>
        <w:t>Hamid Taghizadeh</w:t>
      </w:r>
      <w:r>
        <w:rPr>
          <w:bCs/>
        </w:rPr>
        <w:t>,</w:t>
      </w:r>
      <w:r>
        <w:t xml:space="preserve"> member No. 194627, imposed in Supreme Court case No. S192915 (State Bar Court case Nos. 07-O-13401 et al.) be revoked; that the previous stay of execution of the suspension be lifted; and that respondent be actually suspended from the practice of law for one year.</w:t>
      </w:r>
    </w:p>
    <w:p>
      <w:pPr>
        <w:spacing w:line="480" w:lineRule="auto"/>
        <w:contextualSpacing/>
      </w:pPr>
      <w:r>
        <w:rPr>
          <w:b/>
        </w:rPr>
        <w:tab/>
        <w:t>Multistate Professional Responsibility Examination</w:t>
      </w:r>
    </w:p>
    <w:p>
      <w:pPr>
        <w:spacing w:line="480" w:lineRule="auto"/>
        <w:ind w:firstLine="720"/>
        <w:contextualSpacing/>
      </w:pPr>
      <w:r>
        <w:t>It is not recommended that respondent be ordered to take and pass the Multistate Professional Responsibility Examination (MPRE) because he was previously ordered to do so in Supreme Court case No. S192915.</w:t>
      </w: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r>
        <w:rPr>
          <w:rStyle w:val="FootnoteReference"/>
        </w:rPr>
        <w:footnoteReference w:id="4"/>
      </w:r>
      <w:r>
        <w:t xml:space="preserve">  </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noProof/>
          <w:u w:val="single"/>
        </w:rPr>
        <w:t>Order of Involuntary Inactive Enrollment</w:t>
      </w:r>
    </w:p>
    <w:p>
      <w:pPr>
        <w:spacing w:line="480" w:lineRule="auto"/>
      </w:pPr>
      <w:r>
        <w:tab/>
        <w:t xml:space="preserve">Section 6007, subdivision (d)(1), provides for an attorney’s involuntary inactive enrollment for violating probation if:  (A) the attorney is under a suspension order any portion of which has been stayed during a period of probation, (B) the court finds that probation has been violated, and (C) the court recommends that the attorney receive an actual suspension due to the probation violation or other disciplinary matter.  The requirements of section 6007, subdivision (d)(1) have been met.  </w:t>
      </w:r>
    </w:p>
    <w:p>
      <w:pPr>
        <w:spacing w:line="480" w:lineRule="auto"/>
      </w:pPr>
      <w:r>
        <w:tab/>
        <w:t>Respondent is ordered to be involuntarily enrolled inactive under section 6007, subdivision (d)(1).</w:t>
      </w:r>
      <w:r>
        <w:rPr>
          <w:rStyle w:val="FootnoteReference"/>
        </w:rPr>
        <w:footnoteReference w:id="5"/>
      </w:r>
      <w:r>
        <w:t xml:space="preserve">  This inactive enrollment order will be effective three calendar days after the date upon which this order is served.</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Dated:  </w:t>
            </w:r>
            <w:r>
              <w:rPr>
                <w:noProof/>
              </w:rPr>
              <w:t>June _____, 2012</w:t>
            </w:r>
          </w:p>
        </w:tc>
        <w:tc>
          <w:tcPr>
            <w:tcW w:w="4560" w:type="dxa"/>
            <w:tcBorders>
              <w:top w:val="single" w:sz="4" w:space="0" w:color="auto"/>
              <w:bottom w:val="nil"/>
              <w:right w:val="nil"/>
            </w:tcBorders>
          </w:tcPr>
          <w:p>
            <w:r>
              <w:t xml:space="preserve">RICHARD A. HONN  </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- 7 -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p>
      <w:pPr>
        <w:pStyle w:val="Style1"/>
      </w:pPr>
    </w:p>
  </w:footnote>
  <w:footnote w:id="2">
    <w:p>
      <w:pPr>
        <w:pStyle w:val="Style1"/>
      </w:pPr>
      <w:r>
        <w:t xml:space="preserve">   </w:t>
      </w:r>
      <w:r>
        <w:rPr>
          <w:rStyle w:val="FootnoteReference"/>
        </w:rPr>
        <w:footnoteRef/>
      </w:r>
      <w:r>
        <w:t>Although no proof was offered that the Clerk of the Supreme Court served the Supreme Court’s order upon respondent, California Rules of Court, rule 8.532(a) requires clerks of reviewing courts to immediately transmit a copy of all decisions of those courts to the parties upon filing.  It is presumed pursuant to Evidence Code section 664 that official duties have been regularly performed.  (</w:t>
      </w:r>
      <w:r>
        <w:rPr>
          <w:i/>
          <w:iCs/>
        </w:rPr>
        <w:t>In re Linda D.</w:t>
      </w:r>
      <w:r>
        <w:t xml:space="preserve"> (1970) 3 Cal.App.3d 567, 571.)  Therefore, in the absence of evidence to the contrary, this court finds that the Clerk of the Supreme Court performed his duty and transmitted a copy of the Supreme Court’s order to respondent immediately after its filing.</w:t>
      </w:r>
    </w:p>
  </w:footnote>
  <w:footnote w:id="3">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4">
    <w:p>
      <w:pPr>
        <w:pStyle w:val="Style1"/>
      </w:pPr>
      <w:r>
        <w:rPr>
          <w:rStyle w:val="FootnoteReference"/>
        </w:rPr>
        <w:footnoteRef/>
      </w:r>
      <w:r>
        <w:t xml:space="preserve"> Respondent is required to file a rule 9.20(c) affidavit even if he has no clients to notify.  (</w:t>
      </w:r>
      <w:r>
        <w:rPr>
          <w:i/>
        </w:rPr>
        <w:t>Powers v. State Bar</w:t>
      </w:r>
      <w:r>
        <w:t xml:space="preserve"> (1988) 44 Cal.3d 337, 341.)</w:t>
      </w:r>
    </w:p>
  </w:footnote>
  <w:footnote w:id="5">
    <w:p>
      <w:pPr>
        <w:spacing w:after="240"/>
        <w:ind w:firstLine="720"/>
      </w:pPr>
      <w:r>
        <w:rPr>
          <w:rStyle w:val="FootnoteReference"/>
        </w:rPr>
        <w:footnoteRef/>
      </w:r>
      <w:r>
        <w:t xml:space="preserve">The court recommends that any period of involuntary inactive enrollment be credited against the period of actual suspension ordered.  (Bus. &amp; Prof. Code, </w:t>
      </w:r>
      <w:r>
        <w:rPr>
          <w:rFonts w:ascii="WP TypographicSymbols" w:hAnsi="WP TypographicSymbols"/>
        </w:rPr>
        <w:t>§</w:t>
      </w:r>
      <w:r>
        <w:t xml:space="preserve"> 6007, subd. (d)(3).)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423CA"/>
    <w:multiLevelType w:val="hybridMultilevel"/>
    <w:tmpl w:val="0FCC46B6"/>
    <w:lvl w:ilvl="0" w:tplc="1E620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C2A5A"/>
    <w:multiLevelType w:val="hybridMultilevel"/>
    <w:tmpl w:val="A71205DC"/>
    <w:lvl w:ilvl="0" w:tplc="3BF80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73747"/>
    <w:multiLevelType w:val="hybridMultilevel"/>
    <w:tmpl w:val="DD48BE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A674AE"/>
    <w:multiLevelType w:val="hybridMultilevel"/>
    <w:tmpl w:val="2D847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F50BA"/>
    <w:multiLevelType w:val="hybridMultilevel"/>
    <w:tmpl w:val="4FEEF752"/>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13"/>
  </w:num>
  <w:num w:numId="5">
    <w:abstractNumId w:val="9"/>
  </w:num>
  <w:num w:numId="6">
    <w:abstractNumId w:val="4"/>
  </w:num>
  <w:num w:numId="7">
    <w:abstractNumId w:val="12"/>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
  </w:num>
  <w:num w:numId="13">
    <w:abstractNumId w:val="7"/>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documentProtection w:edit="forms" w:enforcement="1" w:cryptProviderType="rsaFull" w:cryptAlgorithmClass="hash" w:cryptAlgorithmType="typeAny" w:cryptAlgorithmSid="4" w:cryptSpinCount="100000" w:hash="te5GXO7+4cp691K4Ky340UBHxu0=" w:salt="4nLix8l3sq6jWZnYlO002w=="/>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pPr>
      <w:spacing w:line="480" w:lineRule="auto"/>
      <w:ind w:left="1440"/>
    </w:pPr>
  </w:style>
  <w:style w:type="character" w:customStyle="1" w:styleId="BodyTextIndent3Char">
    <w:name w:val="Body Text Indent 3 Char"/>
    <w:basedOn w:val="DefaultParagraphFont"/>
    <w:link w:val="BodyTextIndent3"/>
    <w:semiHidden/>
    <w:rPr>
      <w:rFonts w:ascii="Times New Roman" w:eastAsia="Times New Roman" w:hAnsi="Times New Roman"/>
      <w:sz w:val="24"/>
      <w:szCs w:val="24"/>
    </w:rPr>
  </w:style>
  <w:style w:type="paragraph" w:customStyle="1" w:styleId="Style10">
    <w:name w:val="Style1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1687</Words>
  <Characters>8980</Characters>
  <Application>Microsoft Office Word</Application>
  <DocSecurity>0</DocSecurity>
  <Lines>187</Lines>
  <Paragraphs>86</Paragraphs>
  <ScaleCrop>false</ScaleCrop>
  <Company>
  </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2012-06-01T22:25:00Z</dcterms:created>
  <dcterms:modified xsi:type="dcterms:W3CDTF">2012-06-01T22:25:00Z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