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11,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WENDY ALICIA HARTE,</w:t>
            </w:r>
          </w:p>
          <w:p>
            <w:pPr>
              <w:rPr>
                <w:b/>
                <w:bCs/>
              </w:rPr>
            </w:pPr>
          </w:p>
          <w:p>
            <w:pPr>
              <w:rPr>
                <w:b/>
                <w:bCs/>
              </w:rPr>
            </w:pPr>
            <w:r>
              <w:rPr>
                <w:b/>
                <w:bCs/>
              </w:rPr>
              <w:t>Member No.  243230,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13-N-12146-RAP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Wendy Alicia Harte (respondent) was charged with willfully violating California Rules of Court, rule 9.20, by willfully disobeying or violating a court order requiring compliance with California Rules of Court, rule 9.20.  She failed to participate either in person or through counsel, and her default was entered.  The Office of the Chief Trial Counsel (State Bar) filed an amended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w:t>
      </w:r>
      <w:r>
        <w:lastRenderedPageBreak/>
        <w:t>(NDC)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6, 2006, and has been a member since then.</w:t>
      </w:r>
    </w:p>
    <w:p>
      <w:pPr>
        <w:spacing w:line="480" w:lineRule="auto"/>
        <w:rPr>
          <w:b/>
        </w:rPr>
      </w:pPr>
      <w:r>
        <w:rPr>
          <w:b/>
        </w:rPr>
        <w:t>Procedural Requirements Have Been Satisfied</w:t>
      </w:r>
    </w:p>
    <w:p>
      <w:pPr>
        <w:spacing w:line="480" w:lineRule="auto"/>
      </w:pPr>
      <w:r>
        <w:rPr>
          <w:b/>
        </w:rPr>
        <w:tab/>
      </w:r>
      <w:r>
        <w:t>On June 14, 2013, the State Bar filed and properly served an amended NDC on respondent by certified mail, return receipt requested, to her membership records address.</w:t>
      </w:r>
      <w:r>
        <w:rPr>
          <w:rStyle w:val="FootnoteReference"/>
        </w:rPr>
        <w:footnoteReference w:id="3"/>
      </w:r>
      <w:r>
        <w:t xml:space="preserve">  The NDC notified respondent that her failure to participate in the proceeding would result in a disbarment recommendation.  (Rule 5.41.)  The return receipt bore “the name and signature ‘Jason Douglas’”</w:t>
      </w:r>
      <w:r>
        <w:rPr>
          <w:rStyle w:val="FootnoteReference"/>
        </w:rPr>
        <w:footnoteReference w:id="4"/>
      </w:r>
      <w:r>
        <w:t xml:space="preserve"> and reflected a delivery date was June 17, 2013.    </w:t>
      </w:r>
    </w:p>
    <w:p>
      <w:pPr>
        <w:spacing w:line="480" w:lineRule="auto"/>
        <w:ind w:firstLine="720"/>
      </w:pPr>
      <w:r>
        <w:t>Respondent had actual notice of this proceeding.  Deputy Trial Counsel Sue K. Hong (DTC Hong) emailed respondent at respondent’s official membership records email address on July 11, 2013.  In the email, DTC Hong advised respondent that (1) a NDC had been filed regarding respondent; (2) respondent was served with a copy of it and her response was overdue; and (3) if her response was not filed by July 14, 2013, the State Bar would file a motion for entry of her default.</w:t>
      </w:r>
    </w:p>
    <w:p>
      <w:pPr>
        <w:spacing w:line="480" w:lineRule="auto"/>
        <w:ind w:firstLine="720"/>
      </w:pPr>
      <w:r>
        <w:lastRenderedPageBreak/>
        <w:t>Respondent replied via email on July 15, 2013, acknowledging receipt of DTC Hong’s email; advising that she currently lives in another state; and asking how she could file an extension with the courts to answer the charges.</w:t>
      </w:r>
    </w:p>
    <w:p>
      <w:pPr>
        <w:spacing w:line="480" w:lineRule="auto"/>
        <w:ind w:firstLine="720"/>
      </w:pPr>
      <w:r>
        <w:t>DTC Hong replied on July 15, 2013, noting that she had already extended the deadline to file the response,</w:t>
      </w:r>
      <w:r>
        <w:rPr>
          <w:rStyle w:val="FootnoteReference"/>
        </w:rPr>
        <w:footnoteReference w:id="5"/>
      </w:r>
      <w:r>
        <w:t xml:space="preserve"> and that she would proceed with the filing of a motion for the entry of respondent’s default.      </w:t>
      </w:r>
    </w:p>
    <w:p>
      <w:pPr>
        <w:spacing w:line="480" w:lineRule="auto"/>
        <w:ind w:firstLine="720"/>
        <w:rPr>
          <w:b/>
        </w:rPr>
      </w:pPr>
      <w:r>
        <w:t xml:space="preserve">Respondent replied on July 15, 2013, advising DTC Hong, among other things, that she would seek counsel and would seek to have any defaults vacated. </w:t>
      </w:r>
    </w:p>
    <w:p>
      <w:pPr>
        <w:spacing w:line="480" w:lineRule="auto"/>
        <w:ind w:firstLine="720"/>
      </w:pPr>
      <w:r>
        <w:t>As respondent failed to file a response to the NDC, on July 30, 2013, the State Bar filed and properly served a motion for entry of respondent’s default on respondent by certified mail, return receipt requested, to her membership records address.</w:t>
      </w:r>
      <w:r>
        <w:rPr>
          <w:rStyle w:val="FootnoteReference"/>
        </w:rPr>
        <w:footnoteReference w:id="6"/>
      </w:r>
      <w:r>
        <w:t xml:space="preserve">  The motion complied with all the requirements for a default, including a supporting declaration of reasonable diligence by the State Bar deputy trial counsel declaring the additional steps taken to provide notice to respondent and reflecting that respondent had actual notice of this proceeding.  (Rule 5.80.)  The motion also notified respondent that, if she did not timely move to set aside her default, the court would recommend her disbarment.  Respondent did not file a response to the motion, and her default was entered on August 15, 2013.  The order entering the default was properly served on respondent at her membership records address by certified mail, return receipt requested.</w:t>
      </w:r>
      <w:r>
        <w:rPr>
          <w:rStyle w:val="FootnoteReference"/>
        </w:rPr>
        <w:footnoteReference w:id="7"/>
      </w:r>
      <w:r>
        <w:t xml:space="preserve">  The court also ordered respondent’s involuntary inactive enrollment as a member of the State Bar </w:t>
      </w:r>
      <w:r>
        <w:lastRenderedPageBreak/>
        <w:t>under Business and Professions Code section 6007, subdivision (e), effective three days after service of the order.  She has remained inactively enrolled since that time.</w:t>
      </w:r>
    </w:p>
    <w:p>
      <w:pPr>
        <w:spacing w:line="480" w:lineRule="auto"/>
      </w:pPr>
      <w:r>
        <w:rPr>
          <w:b/>
        </w:rPr>
        <w:tab/>
      </w:r>
      <w:r>
        <w:t>Respondent also did not seek to have her default set aside or vacated.  (Rule 5.83(C)(1) [attorney has 180 days to file motion to set aside default].)  On April 24, 2014,  the State Bar filed and properly served an amended petition for disbarment.</w:t>
      </w:r>
      <w:r>
        <w:rPr>
          <w:rStyle w:val="FootnoteReference"/>
        </w:rPr>
        <w:footnoteReference w:id="8"/>
      </w:r>
      <w:r>
        <w:t xml:space="preserve">  As required by rule 5.85(A), the State Bar reported in the petition that:  (1) it has not had any contact with respondent since her default was entered; (2) there are no other disciplinary matters pending against respondent;</w:t>
      </w:r>
    </w:p>
    <w:p>
      <w:pPr>
        <w:spacing w:line="480" w:lineRule="auto"/>
      </w:pPr>
      <w:r>
        <w:t>(3) respondent has a record of prior discipline; and (4) the Client Security Fund has not made any payments resulting from respondent’s conduct.  Respondent did not respond to the petition for disbarment or move to set aside or vacate the default.  The case was submitted for decision on May 20, 2014.</w:t>
      </w:r>
    </w:p>
    <w:p>
      <w:pPr>
        <w:spacing w:line="480" w:lineRule="auto"/>
      </w:pPr>
      <w:r>
        <w:rPr>
          <w:b/>
        </w:rPr>
        <w:tab/>
      </w:r>
      <w:r>
        <w:t>Respondent has two prior records of discipline.</w:t>
      </w:r>
      <w:r>
        <w:rPr>
          <w:rStyle w:val="FootnoteReference"/>
        </w:rPr>
        <w:footnoteReference w:id="9"/>
      </w:r>
      <w:r>
        <w:t xml:space="preserve">  Pursuant to a Supreme Court order filed on December 30, 2010, respondent was suspended for one year, the execution of which was stayed, and she was placed on probation for one year, subject to certain conditions.  Respondent stipulated that she held herself out as an attorney when she was not entitled to practice law and gave legal advice and performed legal services on a client’s behalf when she was not entitled to practice law.  Respondent also stipulated that she knowingly failed to disclose a material fact in connection with her application for admission to the State Bar.    </w:t>
      </w:r>
    </w:p>
    <w:p>
      <w:pPr>
        <w:spacing w:line="480" w:lineRule="auto"/>
      </w:pPr>
      <w:r>
        <w:lastRenderedPageBreak/>
        <w:tab/>
        <w:t xml:space="preserve">Pursuant to a Supreme Court order filed on December 31, 2012, respondent was suspended for two years, the execution of which was stayed, and she was placed on probation for two years, subject to conditions, including that she be suspended for the first 90 days of probation.  Respondent participated in this prior disciplinary matter and did not deny the charge.  Respondent was found culpable of failing to comply with certain probation conditions as ordered by the Supreme Court in her prior disciplinary matter.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13-N-12146 (Rule 9.20 Matter)</w:t>
      </w:r>
    </w:p>
    <w:p>
      <w:pPr>
        <w:spacing w:line="480" w:lineRule="auto"/>
      </w:pPr>
      <w:r>
        <w:rPr>
          <w:b/>
        </w:rPr>
        <w:tab/>
      </w:r>
      <w:r>
        <w:t xml:space="preserve">Respondent willfully violated California Rules of Court, rule 9.20 (duties of disbarred, resigned or suspended attorneys) by not filing a declaration of compliance with rule 9.20 in conformity with the requirements of rule 9.20(c), thereby failing to timely comply with the provisions of the Supreme Court’s December 31, 2012 order requiring compliance with California Rules of Court, rule 9.20.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rPr>
          <w:b/>
        </w:rPr>
      </w:pPr>
      <w:r>
        <w:tab/>
        <w:t>(1) the NDC was properly served on respondent under rule 5.25;</w:t>
      </w:r>
      <w:r>
        <w:rPr>
          <w:b/>
        </w:rPr>
        <w:t xml:space="preserve"> </w:t>
      </w:r>
    </w:p>
    <w:p>
      <w:pPr>
        <w:spacing w:line="480" w:lineRule="auto"/>
        <w:ind w:firstLine="720"/>
      </w:pPr>
      <w:r>
        <w:t>(2)</w:t>
      </w:r>
      <w:r>
        <w:rPr>
          <w:b/>
        </w:rPr>
        <w:t xml:space="preserve"> </w:t>
      </w:r>
      <w:r>
        <w:t xml:space="preserve">respondent had actual notice of this proceeding, as respondent and DTC Hong exchanged email communications regarding the matter; </w:t>
      </w:r>
    </w:p>
    <w:p>
      <w:pPr>
        <w:spacing w:line="480" w:lineRule="auto"/>
      </w:pPr>
      <w:r>
        <w:rPr>
          <w:b/>
        </w:rPr>
        <w:lastRenderedPageBreak/>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Wendy Alicia Harte be disbarred from the practice of law in the State of California and that her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Wendy Alicia Harte, State Bar number 243230, be involuntarily enrolled as an </w:t>
      </w:r>
      <w:r>
        <w:lastRenderedPageBreak/>
        <w:t>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August 8,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This matter was originally assigned to the Honorable Richard A. Honn.  However, effective May 9, 2014, this matter was reassigned to the undersigned judge.</w:t>
      </w:r>
    </w:p>
  </w:footnote>
  <w:footnote w:id="4">
    <w:p>
      <w:pPr>
        <w:pStyle w:val="FootnoteText"/>
      </w:pPr>
      <w:r>
        <w:rPr>
          <w:rStyle w:val="FootnoteReference"/>
        </w:rPr>
        <w:footnoteRef/>
      </w:r>
      <w:r>
        <w:t xml:space="preserve"> Declaration of Deputy Trial Counsel Sue K. Hong attached to the State Bar’s motion for entry of respondent’s default, numbered paragraph 5, line 20.</w:t>
      </w:r>
    </w:p>
  </w:footnote>
  <w:footnote w:id="5">
    <w:p>
      <w:pPr>
        <w:pStyle w:val="FootnoteText"/>
      </w:pPr>
      <w:r>
        <w:rPr>
          <w:rStyle w:val="FootnoteReference"/>
        </w:rPr>
        <w:footnoteRef/>
      </w:r>
      <w:r>
        <w:t xml:space="preserve"> As the amended NDC was filed on June 14, 2013, respondent should have filed her response within 20 days after service of the amended NDC.  (Rule 5.43.)  DTC Hong, however, had advised respondent that if the response was not filed by July 14, 2013, the State Bar would file a motion for entry of respondent’s default.   </w:t>
      </w:r>
    </w:p>
  </w:footnote>
  <w:footnote w:id="6">
    <w:p>
      <w:pPr>
        <w:pStyle w:val="FootnoteText"/>
      </w:pPr>
      <w:r>
        <w:rPr>
          <w:rStyle w:val="FootnoteReference"/>
        </w:rPr>
        <w:footnoteRef/>
      </w:r>
      <w:r>
        <w:t xml:space="preserve"> The return receipt for the motion was signed on July 31, 2013, by K. Thomas.</w:t>
      </w:r>
    </w:p>
  </w:footnote>
  <w:footnote w:id="7">
    <w:p>
      <w:pPr>
        <w:pStyle w:val="FootnoteText"/>
      </w:pPr>
      <w:r>
        <w:rPr>
          <w:rStyle w:val="FootnoteReference"/>
        </w:rPr>
        <w:footnoteRef/>
      </w:r>
      <w:r>
        <w:t xml:space="preserve"> The return receipt reflects that it was received by “Jason Douglas” and was delivered on August 16, 2013.</w:t>
      </w:r>
    </w:p>
  </w:footnote>
  <w:footnote w:id="8">
    <w:p>
      <w:pPr>
        <w:pStyle w:val="FootnoteText"/>
      </w:pPr>
      <w:r>
        <w:rPr>
          <w:rStyle w:val="FootnoteReference"/>
        </w:rPr>
        <w:footnoteRef/>
      </w:r>
      <w:r>
        <w:t xml:space="preserve"> A disbarment petition had previously been filed by the State Bar and served on respondent on February 26, 2014, and the matter was submitted for decision on March 25, 2014.  However, the declaration attached to the disbarment petition did not fully comply with rule 5.85(A).  Accordingly, Judge Honn filed an order on April 23, 2014, vacating the submission of this matter and directing the State Bar to file an amended disbarment petition correcting the defect in the declaration.  </w:t>
      </w:r>
    </w:p>
  </w:footnote>
  <w:footnote w:id="9">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OA49XxOMQ0O9w2sXJHW3BFseu+M=" w:salt="RobN/v1wDkhpniItXHS0wA=="/>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2014-08-26T22:45:00Z</dcterms:created>
  <dcterms:modified xsi:type="dcterms:W3CDTF">2014-08-26T22:46:00Z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