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rPr>
          <w:b/>
          <w:i w:val="0"/>
        </w:rPr>
      </w:pPr>
      <w:bookmarkStart w:id="0" w:name="_GoBack"/>
      <w:bookmarkEnd w:id="0"/>
    </w:p>
    <w:p>
      <w:pPr>
        <w:jc w:val="right"/>
        <w:rPr>
          <w:sz w:val="36"/>
        </w:rPr>
      </w:pPr>
      <w:r>
        <w:rPr>
          <w:b/>
        </w:rPr>
        <w:t>FILED DECEMBER 12, 2014</w:t>
      </w:r>
    </w:p>
    <w:p/>
    <w:p/>
    <w:p/>
    <w:p/>
    <w:p>
      <w:pPr>
        <w:pStyle w:val="Heading1"/>
      </w:pPr>
      <w:r>
        <w:t>STATE BAR COURT OF CALIFORNIA</w:t>
      </w:r>
    </w:p>
    <w:p>
      <w:pPr>
        <w:spacing w:line="480" w:lineRule="auto"/>
        <w:jc w:val="center"/>
        <w:rPr>
          <w:b/>
          <w:bCs/>
        </w:rPr>
      </w:pPr>
      <w:r>
        <w:rPr>
          <w:b/>
          <w:bCs/>
        </w:rPr>
        <w:t>HEARING DEPARTMENT-LOS ANGELES</w:t>
      </w: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CURTIS GEORGE MUCK,</w:t>
            </w:r>
          </w:p>
          <w:p>
            <w:pPr>
              <w:rPr>
                <w:b/>
                <w:bCs/>
              </w:rPr>
            </w:pPr>
          </w:p>
          <w:p>
            <w:pPr>
              <w:rPr>
                <w:b/>
                <w:bCs/>
              </w:rPr>
            </w:pPr>
            <w:r>
              <w:rPr>
                <w:b/>
                <w:bCs/>
              </w:rPr>
              <w:t>Member No. 190328,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 xml:space="preserve">13-N-12976-LMA </w:t>
            </w:r>
          </w:p>
          <w:p>
            <w:pPr>
              <w:rPr>
                <w:b/>
                <w:bCs/>
              </w:rPr>
            </w:pPr>
            <w:r>
              <w:rPr>
                <w:b/>
                <w:bCs/>
              </w:rPr>
              <w:t>13-O-10631 (Cons.)</w:t>
            </w:r>
          </w:p>
          <w:p>
            <w:pPr>
              <w:rPr>
                <w:b/>
                <w:bCs/>
              </w:rPr>
            </w:pPr>
          </w:p>
        </w:tc>
      </w:tr>
      <w:tr>
        <w:trPr>
          <w:cantSplit/>
          <w:trHeight w:val="1125"/>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AND ORDER OF INVOLUNTARY INACTIVE ENROLLMENT </w:t>
            </w:r>
          </w:p>
        </w:tc>
      </w:tr>
    </w:tbl>
    <w:p>
      <w:pPr>
        <w:spacing w:line="480" w:lineRule="auto"/>
      </w:pPr>
    </w:p>
    <w:p>
      <w:pPr>
        <w:spacing w:line="480" w:lineRule="auto"/>
      </w:pPr>
      <w:r>
        <w:tab/>
        <w:t>Respondent Curtis George Muck was charged with (1) not complying with California Rules of Court, rule 9.20(c);  (2)  aiding the unauthorized practice of law;  (3)  not performing legal services with competence;  (4)  not refunding unearned fees;  (5)  not responding promptly to client inquiries;  (6)  not rendering accounts of client funds;  and (7)  not cooperating in a State Bar investigation.  He did not file a response to the notice of disciplinary charges (NDC),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w:t>
      </w:r>
      <w:r>
        <w:lastRenderedPageBreak/>
        <w:t>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1, 1997, and has been a member of the State Bar of California since.</w:t>
      </w:r>
    </w:p>
    <w:p>
      <w:pPr>
        <w:spacing w:line="480" w:lineRule="auto"/>
        <w:rPr>
          <w:b/>
        </w:rPr>
      </w:pPr>
      <w:r>
        <w:rPr>
          <w:b/>
        </w:rPr>
        <w:t>Procedural Requirements Have Been Satisfied</w:t>
      </w:r>
    </w:p>
    <w:p>
      <w:pPr>
        <w:spacing w:line="480" w:lineRule="auto"/>
      </w:pPr>
      <w:r>
        <w:tab/>
        <w:t>On October 4, 2013, the State Bar filed and properly served the NDC on respondent by certified mail, return receipt requested to his membership records address (official address).  The NDC notified respondent that his failure to participate in the proceeding would result in a disbarment recommendation.  (Rule 5.41.)  A courtesy copy was also sent to respondent’s official address and an alternate address by first-class mail.  The correspondence sent to the alternate address was returned as undeliverable.  The NDC sent by certified mail, return receipt requested, was returned “unclaimed.”</w:t>
      </w:r>
    </w:p>
    <w:p>
      <w:pPr>
        <w:spacing w:line="480" w:lineRule="auto"/>
      </w:pPr>
      <w:r>
        <w:tab/>
        <w:t>On November 26 and 25, 2013, respectively, the State Bar filed and properly served an amended version of the NDC on respondent by certified mail, return receipt requested to his official address.  This NDC also notified respondent that his failure to participate in the proceeding would result in a disbarment recommendation.  The NDC was returned marked “addressee unknown.”</w:t>
      </w:r>
    </w:p>
    <w:p>
      <w:pPr>
        <w:spacing w:line="480" w:lineRule="auto"/>
      </w:pPr>
    </w:p>
    <w:p>
      <w:pPr>
        <w:spacing w:line="480" w:lineRule="auto"/>
      </w:pPr>
      <w:r>
        <w:lastRenderedPageBreak/>
        <w:tab/>
        <w:t>Respondent did not file a response to the NDC by December 20, 2013.  However, on November 12 and 21, 2013, and on January 13, 2014, the State Bar made efforts to locate and contact respondent, including (1)  calling his official telephone number and an alternate telephone number, both of which were disconnected;  (2)  calling a third possible telephone number for respondent.  The person who answered the call said that it was a wrong number; and (3)  calling Directory Assistance for the area that included respondent’s official address.  There were no listings for respondent.</w:t>
      </w:r>
      <w:r>
        <w:rPr>
          <w:rStyle w:val="FootnoteReference"/>
        </w:rPr>
        <w:footnoteReference w:id="3"/>
      </w:r>
      <w:r>
        <w:t xml:space="preserve">   </w:t>
      </w:r>
    </w:p>
    <w:p>
      <w:pPr>
        <w:spacing w:line="480" w:lineRule="auto"/>
      </w:pPr>
      <w:r>
        <w:tab/>
        <w:t xml:space="preserve">On January 21 and 16, 2014, respectively, the State Bar filed and properly served on respondent a motion for entry of his default by certified mail, return receipt requested to respondent’s official address.  The motion complied with the requirements for a default, including a supporting declaration of reasonable diligence regarding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February 3,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The order was returned unclaimed.  </w:t>
      </w:r>
    </w:p>
    <w:p>
      <w:pPr>
        <w:spacing w:line="480" w:lineRule="auto"/>
      </w:pPr>
      <w:r>
        <w:rPr>
          <w:b/>
        </w:rPr>
        <w:tab/>
      </w:r>
      <w:r>
        <w:t xml:space="preserve">Respondent did not seek to have his default set aside or vacated.  (Rule 5.83(C)(1) [attorney has 180 days to file motion to set aside default].)  On September 22 and 18, 2014, </w:t>
      </w:r>
      <w:r>
        <w:lastRenderedPageBreak/>
        <w:t xml:space="preserve">respectively, the State Bar filed and properly served a petition for disbarment on respondent by certified mail, return receipt requested.  As required by rule 5.85(A), the State Bar reported in the petition that:  (1) the State Bar has not had contact with respondent since the default was entered; (2) there are three disciplinary investigations pending against respondent; (3) respondent has one prior record of discipline; and (4) the Client Security Fund (CSF) has not made any payments resulting from respondent’s conduct as set forth in the NDC.  Respondent did not respond to the petition for disbarment or move to set aside or vacate the default.  The case was submitted for decision on October 15, 2014. </w:t>
      </w:r>
    </w:p>
    <w:p>
      <w:pPr>
        <w:spacing w:line="480" w:lineRule="auto"/>
      </w:pPr>
      <w:r>
        <w:tab/>
        <w:t>Respondent has one prior record of discipline.</w:t>
      </w:r>
    </w:p>
    <w:p>
      <w:pPr>
        <w:spacing w:line="480" w:lineRule="auto"/>
      </w:pPr>
      <w:r>
        <w:tab/>
        <w:t>Pursuant to a Supreme Court order filed on February 14, 2013, respondent was suspended for two years, the execution of which was stayed, and he was placed on probation for three years, on condition that he be suspended for six months.  Respondent was found culpable of violating rules 1-300(A) (three counts) and 1-320(A) (one count) of the State Bar Rules of Professional Conduct and Business and Professions Code section 6068, subdivision (i) (one count).</w:t>
      </w:r>
      <w:r>
        <w:rPr>
          <w:rStyle w:val="FootnoteReference"/>
        </w:rPr>
        <w:footnoteReference w:id="4"/>
      </w:r>
      <w:r>
        <w:t xml:space="preserve"> </w:t>
      </w:r>
    </w:p>
    <w:p>
      <w:pPr>
        <w:spacing w:line="480" w:lineRule="auto"/>
        <w:rPr>
          <w:b/>
        </w:rPr>
      </w:pPr>
      <w:r>
        <w:rPr>
          <w:b/>
        </w:rPr>
        <w:t>The Admitted Factual Allegations Warrant the Imposition of Discipline</w:t>
      </w:r>
    </w:p>
    <w:p>
      <w:pPr>
        <w:spacing w:line="480" w:lineRule="auto"/>
      </w:pPr>
      <w:r>
        <w:rPr>
          <w:b/>
        </w:rPr>
        <w:tab/>
      </w: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and statutory violations as charged and, therefore, violated a statute, rule or court order that would warrant the imposition of discipline.  (Rule 5.85(E)(1)(d).)</w:t>
      </w:r>
    </w:p>
    <w:p>
      <w:pPr>
        <w:spacing w:line="480" w:lineRule="auto"/>
      </w:pPr>
    </w:p>
    <w:p>
      <w:pPr>
        <w:spacing w:line="480" w:lineRule="auto"/>
      </w:pPr>
    </w:p>
    <w:p>
      <w:pPr>
        <w:spacing w:line="480" w:lineRule="auto"/>
      </w:pPr>
    </w:p>
    <w:p>
      <w:pPr>
        <w:spacing w:line="480" w:lineRule="auto"/>
        <w:rPr>
          <w:b/>
        </w:rPr>
      </w:pPr>
      <w:r>
        <w:rPr>
          <w:b/>
        </w:rPr>
        <w:lastRenderedPageBreak/>
        <w:tab/>
        <w:t>1.</w:t>
      </w:r>
      <w:r>
        <w:rPr>
          <w:b/>
        </w:rPr>
        <w:tab/>
        <w:t>Case Number 13-N-12976 (Rule 9.20 Matter)</w:t>
      </w:r>
    </w:p>
    <w:p>
      <w:pPr>
        <w:spacing w:line="480" w:lineRule="auto"/>
      </w:pPr>
      <w:r>
        <w:tab/>
        <w:t>Count One – respondent violated California Rule of Court, rule 9.20(c) (duties of disbarred, resigned or suspended attorneys) by failing to file proof of compliance with the rule as ordered by the Supreme Court in S199033.</w:t>
      </w:r>
    </w:p>
    <w:p>
      <w:pPr>
        <w:spacing w:line="480" w:lineRule="auto"/>
        <w:rPr>
          <w:b/>
        </w:rPr>
      </w:pPr>
      <w:r>
        <w:rPr>
          <w:b/>
        </w:rPr>
        <w:tab/>
        <w:t>2.</w:t>
      </w:r>
      <w:r>
        <w:rPr>
          <w:b/>
        </w:rPr>
        <w:tab/>
        <w:t>Case Number 13-O-10631 (Abadia Matter)</w:t>
      </w:r>
    </w:p>
    <w:p>
      <w:pPr>
        <w:spacing w:line="480" w:lineRule="auto"/>
      </w:pPr>
      <w:r>
        <w:tab/>
        <w:t>Count Two – respondent willfully violated rule 1-300(A) of the State Bar Rules of Professional Conduct (aiding the unauthorized practice of law) by knowingly allowing David Tabibi, owner of Advanced Paralegal Services, and his staff, who are neither lawyers nor licensed to practice law in California, to provide legal advice and services to respondent’s clients between May 18, 2011 through June 2012.</w:t>
      </w:r>
    </w:p>
    <w:p>
      <w:pPr>
        <w:spacing w:line="480" w:lineRule="auto"/>
      </w:pPr>
      <w:r>
        <w:rPr>
          <w:b/>
        </w:rPr>
        <w:tab/>
      </w:r>
      <w:r>
        <w:t>Count Three – respondent willfully violated rule 3-110(A) of the State Bar Rules of Professional Conduct (not performing with competence) by not filing a Chapter 7 bankruptcy petition for Patricio Abadia for six months after being retained on May 18, 2011; by not curing deficiencies in the bankruptcy documents; by allowing the bankruptcy petition to be dismissed; and by not taking further action to vacate the dismissal after a first motion to vacate was denied.</w:t>
      </w:r>
    </w:p>
    <w:p>
      <w:pPr>
        <w:spacing w:line="480" w:lineRule="auto"/>
      </w:pPr>
      <w:r>
        <w:rPr>
          <w:b/>
        </w:rPr>
        <w:tab/>
      </w:r>
      <w:r>
        <w:t>Count Four alleges respondent’s willful violation of rule 3-700(D)(2) of the State Bar Rules of Professional Conduct by failing to refund $1,200 in unearned fees to a client, averring that respondent “performed no services of value on the client’s behalf and therefore earned none of the advanced fees paid.”  The NDC’s statements that respondent’s services were of no value and, therefore, the fees were unearned, are assertions of opinion, not factual allegations that can be deemed admitted.  Moreover, lack of value is irrelevant in determining whether an advanced fee was unearned for purposes of this rule.  Accordingly, since no violation was shown, this count is DISMISSED with prejudice.</w:t>
      </w:r>
    </w:p>
    <w:p>
      <w:pPr>
        <w:spacing w:line="480" w:lineRule="auto"/>
      </w:pPr>
      <w:r>
        <w:lastRenderedPageBreak/>
        <w:tab/>
        <w:t>Count Five – respondent willfully violated section 6068, subdivision (m) (not informing client of significant developments) by not informing Abadia that his bankruptcy petition was dismissed on January 10, 2012 or that the motion to vacate its dismissal was denied on April 12, 2012.</w:t>
      </w:r>
    </w:p>
    <w:p>
      <w:pPr>
        <w:spacing w:line="480" w:lineRule="auto"/>
      </w:pPr>
      <w:r>
        <w:tab/>
        <w:t xml:space="preserve">Count Six – respondent willfully violated rule 4-100(B)(3) of the State Bar Rules of Professional Conduct (not rendering accounts of client funds) by not rendering an accounting as requested by Abadia on March 25, 2013 regarding the advanced fees respondent received between May 18, 2011 and May 18, 2012 to file a Chapter 7 bankruptcy petition for Abadia.  </w:t>
      </w:r>
    </w:p>
    <w:p>
      <w:pPr>
        <w:spacing w:line="480" w:lineRule="auto"/>
      </w:pPr>
      <w:r>
        <w:tab/>
        <w:t xml:space="preserve">Count Seven – respondent willfully violated section 6068, subdivision (i) (failing to cooperate/participate in a disciplinary investigation) by failing to respond to a State Bar investigator’s two letters that respondent received and that requested his response to allegations of misconduct being investigated in the Abadia mater.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pPr>
      <w:r>
        <w:rPr>
          <w:b/>
        </w:rPr>
        <w:tab/>
      </w:r>
      <w:r>
        <w:t>(2) reasonable diligence was used to locate and notify respondent of the proceedings prior to the entry of his default, including:  (a)  calling his official telephone number and an alternate telephone number, both of which were disconnected;  (b)  calling a third possible telephone number for respondent.  The person who answered the call said that it was a wrong number; and (c)  calling Directory Assistance for the area that included respondent’s official address.  There were no listings for respondent;</w:t>
      </w:r>
    </w:p>
    <w:p>
      <w:pPr>
        <w:spacing w:line="480" w:lineRule="auto"/>
      </w:pPr>
      <w:r>
        <w:rPr>
          <w:b/>
        </w:rPr>
        <w:tab/>
      </w:r>
      <w:r>
        <w:t>(3) the default was properly entered under rule 5.80; and</w:t>
      </w:r>
    </w:p>
    <w:p>
      <w:pPr>
        <w:spacing w:line="480" w:lineRule="auto"/>
      </w:pPr>
      <w:r>
        <w:rPr>
          <w:b/>
        </w:rPr>
        <w:lastRenderedPageBreak/>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rPr>
          <w:b/>
        </w:rPr>
      </w:pPr>
      <w:r>
        <w:rPr>
          <w:b/>
        </w:rPr>
        <w:tab/>
      </w:r>
      <w:r>
        <w:t>The court recommends that respondent Curtis George Muck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Curtis George Muck, State Bar number 190328, be involuntarily enrolled as an </w:t>
      </w:r>
    </w:p>
    <w:p>
      <w:pPr>
        <w:spacing w:line="480" w:lineRule="auto"/>
      </w:pPr>
    </w:p>
    <w:p>
      <w:pPr>
        <w:spacing w:line="480" w:lineRule="auto"/>
      </w:pPr>
      <w:r>
        <w:lastRenderedPageBreak/>
        <w:t>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January _____, 2015</w:t>
            </w:r>
          </w:p>
        </w:tc>
        <w:tc>
          <w:tcPr>
            <w:tcW w:w="4565" w:type="dxa"/>
            <w:tcBorders>
              <w:top w:val="single" w:sz="4" w:space="0" w:color="auto"/>
              <w:bottom w:val="nil"/>
              <w:right w:val="nil"/>
            </w:tcBorders>
          </w:tcPr>
          <w:p>
            <w:r>
              <w:t>LUCY M.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Email was sent to respondent indicating that he had not responded to the NDC and that a motion to enter his default would be filed.  There was no response to this email.  The court will not consider this as part of the reasonable efforts to notify respondent about these proceedings because there appears to be no indication about whether the email address belonged to respondent.</w:t>
      </w:r>
    </w:p>
  </w:footnote>
  <w:footnote w:id="4">
    <w:p>
      <w:pPr>
        <w:pStyle w:val="FootnoteText"/>
      </w:pPr>
      <w:r>
        <w:rPr>
          <w:rStyle w:val="FootnoteReference"/>
        </w:rPr>
        <w:footnoteRef/>
      </w:r>
      <w:r>
        <w:t xml:space="preserve"> Unless otherwise indicated, all further references to section(s) refer to provisions of the Business and Professions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dsbjRSDb8lxeyFJYq9CF/NNwtas=" w:salt="+xvm3XC63RS9+acjocHIvA=="/>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1818</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2015-01-30T21:36:00Z</dcterms:created>
  <dcterms:modified xsi:type="dcterms:W3CDTF">2015-01-30T21:37:00Z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