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26, 2015</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1"/>
        <w:gridCol w:w="182"/>
        <w:gridCol w:w="240"/>
        <w:gridCol w:w="1097"/>
        <w:gridCol w:w="3465"/>
      </w:tblGrid>
      <w:tr>
        <w:trPr>
          <w:cantSplit/>
          <w:trHeight w:val="462"/>
        </w:trPr>
        <w:tc>
          <w:tcPr>
            <w:tcW w:w="4378" w:type="dxa"/>
            <w:vMerge w:val="restart"/>
          </w:tcPr>
          <w:p>
            <w:r>
              <w:t>In the Matter of</w:t>
            </w:r>
          </w:p>
          <w:p>
            <w:pPr>
              <w:rPr>
                <w:b/>
                <w:bCs/>
              </w:rPr>
            </w:pPr>
          </w:p>
          <w:p>
            <w:pPr>
              <w:rPr>
                <w:b/>
                <w:bCs/>
              </w:rPr>
            </w:pPr>
            <w:r>
              <w:rPr>
                <w:b/>
                <w:bCs/>
              </w:rPr>
              <w:t>JOHN JASON GENTRY MULLINS</w:t>
            </w:r>
          </w:p>
          <w:p>
            <w:pPr>
              <w:rPr>
                <w:b/>
                <w:bCs/>
              </w:rPr>
            </w:pPr>
          </w:p>
          <w:p>
            <w:pPr>
              <w:rPr>
                <w:b/>
                <w:bCs/>
              </w:rPr>
            </w:pPr>
            <w:r>
              <w:rPr>
                <w:b/>
                <w:bCs/>
              </w:rPr>
              <w:t>Member No. 236485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13-O-14408 (13-O-16443; </w:t>
            </w:r>
          </w:p>
          <w:p>
            <w:pPr>
              <w:rPr>
                <w:b/>
                <w:bCs/>
              </w:rPr>
            </w:pPr>
            <w:r>
              <w:rPr>
                <w:b/>
                <w:bCs/>
              </w:rPr>
              <w:t>13-O-16629; 13-O-16985)</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ORDER OF INVOLUNTARY INACTIVE ENROLLMENT</w:t>
            </w:r>
          </w:p>
        </w:tc>
      </w:tr>
    </w:tbl>
    <w:p>
      <w:pPr>
        <w:spacing w:line="480" w:lineRule="auto"/>
      </w:pPr>
    </w:p>
    <w:p>
      <w:pPr>
        <w:spacing w:line="480" w:lineRule="auto"/>
      </w:pPr>
      <w:r>
        <w:tab/>
        <w:t>Respondent John Jason Gentry Mullins was charged with (1) misappropriation of entrusted funds;  (2) not maintaining entrusted funds in a trust account;  and (3) breaching the common law fiduciary duty.  He did not file a response to the notice of disciplinary charges (NDC),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w:t>
      </w:r>
      <w:r>
        <w:lastRenderedPageBreak/>
        <w:t>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1, 2005 and has been a member of the State Bar of California since.</w:t>
      </w:r>
    </w:p>
    <w:p>
      <w:pPr>
        <w:spacing w:line="480" w:lineRule="auto"/>
        <w:rPr>
          <w:b/>
        </w:rPr>
      </w:pPr>
      <w:r>
        <w:rPr>
          <w:b/>
        </w:rPr>
        <w:t>Procedural Requirements Have Been Satisfied</w:t>
      </w:r>
    </w:p>
    <w:p>
      <w:pPr>
        <w:spacing w:line="480" w:lineRule="auto"/>
      </w:pPr>
      <w:r>
        <w:tab/>
        <w:t xml:space="preserve">On April 1, 2014, the State Bar filed and properly served the NDC on respondent by certified mail, return receipt requested to his membership records address (official address).  The NDC notified respondent that his failure to participate in the proceeding would result in a disbarment recommendation.  (Rule 5.41.)  The correspondence was returned marked unclaimed and unable to forward.  </w:t>
      </w:r>
    </w:p>
    <w:p>
      <w:pPr>
        <w:spacing w:line="480" w:lineRule="auto"/>
      </w:pPr>
      <w:r>
        <w:tab/>
        <w:t xml:space="preserve">Respondent did not file a response to the NDC by April 28, 2014.  However, the State Bar had made efforts to locate and contact respondent in late April and early May 2014, including (1) sending email to respondent’s membership records and other email addresses and making telephone calls to his membership records telephone number and messages left at his brother’s telephone numbers.  A message could not be left at respondent’s telephone number as the mailbox was full;  (2) researching online and the Daily Journal’s Directory of California Attorneys and calling the telephone number that was found online.  The voicemail greeting indicated that the number had been changed.  A call to the new number resulted in a message </w:t>
      </w:r>
      <w:r>
        <w:lastRenderedPageBreak/>
        <w:t xml:space="preserve">stating that the call could not be completed as dialed; and (3) sending, on May 5, 2014, courtesy copies of the NDC by first-class mail to respondent’s official address and three alternate addresses that were in respondent’s case file or obtained by researching the Daily Journal’s Directory of California Attorneys. </w:t>
      </w:r>
    </w:p>
    <w:p>
      <w:pPr>
        <w:spacing w:line="480" w:lineRule="auto"/>
      </w:pPr>
      <w:r>
        <w:tab/>
        <w:t>On May 5, 2014, the State Bar filed and properly served on respondent a motion for entry of his default by certified mail, return receipt requested, and by first-class mail to respondent’s membership records address.  Courtesy copies were also sent to three alternate addresses.  The motion complied with the requirements for a default, including supporting declarations of reasonable diligence regarding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May 21, 2014.  The order entering the default was served on respondent at his membership records address by certified mail, return receipt requested, and courtesy copies were sent to three alternate addresses.  The court also ordered respondent’s involuntary inactive enrollment as a member of the State Bar under Business and Professions Code section 6007, subdivision (e), effective three days after service of the order.  The certified mail was returned to the State Bar Court marked “refused – unable to forward” and the copies sent to the alternate addresses were all returned as undeliverable.</w:t>
      </w:r>
    </w:p>
    <w:p>
      <w:pPr>
        <w:spacing w:line="480" w:lineRule="auto"/>
      </w:pPr>
      <w:r>
        <w:rPr>
          <w:b/>
        </w:rPr>
        <w:tab/>
      </w:r>
      <w:r>
        <w:t xml:space="preserve">Respondent did not seek to have his default set aside or vacated.  (Rule 5.83(C)(1) [attorney has 180 days to file motion to set aside default].)  On December 1, 2014, the State Bar filed and properly served a petition for disbarment on respondent by certified mail, return receipt requested, and sent a courtesy copy by first-class mail to an alternate address.  As required by rule 5.85(A), the State Bar reported in the petition that:  (1) the State Bar has not had contact with respondent since the default was entered; (2) there are six other disciplinary matters pending </w:t>
      </w:r>
      <w:r>
        <w:lastRenderedPageBreak/>
        <w:t xml:space="preserve">against respondent; (3) respondent has no prior record of discipline; and (4) the Client Security Fund (CSF) has not made any payments resulting from respondent’s conduct as set forth in the NDC.  Respondent did not respond to the petition for disbarment or move to set aside or vacate the default.  The case was submitted for decision on January 6, 2015.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and, therefore, violated a statute, rule or court order that would warrant the imposition of discipline.  (Rule 5.85(E)(1)(d).) </w:t>
      </w:r>
    </w:p>
    <w:p>
      <w:pPr>
        <w:spacing w:line="480" w:lineRule="auto"/>
      </w:pPr>
      <w:r>
        <w:rPr>
          <w:b/>
        </w:rPr>
        <w:tab/>
        <w:t>Case Number 13-O-14408 (Securo Capital/Atlanta Capital Matter)</w:t>
      </w:r>
    </w:p>
    <w:p>
      <w:pPr>
        <w:spacing w:line="480" w:lineRule="auto"/>
      </w:pPr>
      <w:r>
        <w:tab/>
        <w:t>Count One – respondent willfully violated section 6106 (committing an act involving moral turpitude, dishonesty or corruption) by dishonestly or grossly negligently misappropriating $296,921.94 that he was to maintain in escrow in his client trust account until the occurrence of specified events and without the consent of the parties to the transaction between May 15 and 28, 2013.</w:t>
      </w:r>
    </w:p>
    <w:p>
      <w:pPr>
        <w:spacing w:line="480" w:lineRule="auto"/>
      </w:pPr>
      <w:r>
        <w:tab/>
        <w:t>Count Two – respondent willfully violated rule 4–100(A) of the Rules of Professional Conduct (not maintaining entrusted funds in a trust account) by withdrawing or transferring $296,921.94 that he was to maintain in escrow in his client trust account until the occurrence of specified events and without the consent of the parties to the transaction between May 15 and 28, 2013.</w:t>
      </w:r>
    </w:p>
    <w:p>
      <w:pPr>
        <w:spacing w:line="480" w:lineRule="auto"/>
      </w:pPr>
      <w:r>
        <w:rPr>
          <w:b/>
        </w:rPr>
        <w:tab/>
      </w:r>
      <w:r>
        <w:t xml:space="preserve">Counts Three and Four alleging that respondent willfully violated sections 6106 and 6068, subdivision (a) (not complying with laws) by breaching his fiduciary duty owed to the </w:t>
      </w:r>
      <w:r>
        <w:lastRenderedPageBreak/>
        <w:t>parties to the transaction  because he did not safeguard the funds entrusted to him as an escrow agent are dismissed with prejudice as duplicative of Count One.</w:t>
      </w:r>
    </w:p>
    <w:p>
      <w:pPr>
        <w:spacing w:line="480" w:lineRule="auto"/>
      </w:pPr>
      <w:r>
        <w:rPr>
          <w:b/>
        </w:rPr>
        <w:tab/>
        <w:t>Case Number 13-O-16443 (</w:t>
      </w:r>
      <w:r>
        <w:rPr>
          <w:b/>
          <w:sz w:val="26"/>
          <w:szCs w:val="36"/>
        </w:rPr>
        <w:t>8153418</w:t>
      </w:r>
      <w:r>
        <w:rPr>
          <w:sz w:val="26"/>
          <w:szCs w:val="36"/>
        </w:rPr>
        <w:t xml:space="preserve"> </w:t>
      </w:r>
      <w:r>
        <w:rPr>
          <w:b/>
        </w:rPr>
        <w:t>Canada Inc./Atlanta Capital Matter)</w:t>
      </w:r>
    </w:p>
    <w:p>
      <w:pPr>
        <w:spacing w:line="480" w:lineRule="auto"/>
      </w:pPr>
      <w:r>
        <w:tab/>
        <w:t>Count Five – respondent willfully violated section 6106 by dishonestly or grossly negligently misappropriating $147,000.00 that he was to maintain in escrow in his client trust account until the occurrence of specified events and without the consent of the parties to the transaction between July 3 and 11, 2013.</w:t>
      </w:r>
    </w:p>
    <w:p>
      <w:pPr>
        <w:spacing w:line="480" w:lineRule="auto"/>
      </w:pPr>
      <w:r>
        <w:tab/>
        <w:t>Count Six – respondent willfully violated rule 4–100(A) of the Rules of Professional Conduct by withdrawing or transferring $147,000.00 that he was to maintain in escrow in his client trust account until the occurrence of specified events and without the consent of the parties to the transaction between July 3 and 11, 2013.</w:t>
      </w:r>
    </w:p>
    <w:p>
      <w:pPr>
        <w:spacing w:line="480" w:lineRule="auto"/>
      </w:pPr>
      <w:r>
        <w:rPr>
          <w:b/>
        </w:rPr>
        <w:tab/>
      </w:r>
      <w:r>
        <w:t>Counts Seven and Eight alleging that respondent willfully violated sections 6106 and 6068, subdivision (a) by breaching his fiduciary duty owed to the parties to the transaction  because he did not safeguard the funds entrusted to him as an escrow agent are dismissed with prejudice as duplicative of Count Five.</w:t>
      </w:r>
    </w:p>
    <w:p>
      <w:pPr>
        <w:spacing w:line="480" w:lineRule="auto"/>
      </w:pPr>
      <w:r>
        <w:rPr>
          <w:b/>
        </w:rPr>
        <w:tab/>
        <w:t>Case Number 13-O-16629 (Kongkia Investment Co./Atlanta Capital Matter)</w:t>
      </w:r>
    </w:p>
    <w:p>
      <w:pPr>
        <w:spacing w:line="480" w:lineRule="auto"/>
      </w:pPr>
      <w:r>
        <w:tab/>
        <w:t xml:space="preserve">Count Nine – respondent willfully violated section 6106 by dishonestly or grossly negligently misappropriating $149,984.56 that he was to maintain in escrow in his client trust account until the occurrence of specified events and without the consent of the parties to the transaction between June 14 and 19, 2013. </w:t>
      </w:r>
    </w:p>
    <w:p>
      <w:pPr>
        <w:spacing w:line="480" w:lineRule="auto"/>
      </w:pPr>
      <w:r>
        <w:tab/>
        <w:t xml:space="preserve">Count Ten – respondent willfully violated rule 4–100(A) of the Rules of Professional Conduct by withdrawing or transferring $149,984.56 that he was to maintain in escrow in his client trust account until the occurrence of specified events and without the consent of the parties to the transaction between Jun 14 and 19, 2013. </w:t>
      </w:r>
    </w:p>
    <w:p>
      <w:pPr>
        <w:spacing w:line="480" w:lineRule="auto"/>
      </w:pPr>
      <w:r>
        <w:rPr>
          <w:b/>
        </w:rPr>
        <w:lastRenderedPageBreak/>
        <w:tab/>
      </w:r>
      <w:r>
        <w:t>Counts Eleven and Twelve alleging that respondent willfully violated sections 6106 and 6068, subdivision (a) by breaching his fiduciary duty owed to the parties to the transaction  because he did not safeguard the funds entrusted to him as an escrow agent are dismissed with prejudice as duplicative of Count Nine.</w:t>
      </w:r>
    </w:p>
    <w:p>
      <w:pPr>
        <w:spacing w:line="480" w:lineRule="auto"/>
      </w:pPr>
      <w:r>
        <w:rPr>
          <w:b/>
        </w:rPr>
        <w:tab/>
        <w:t>Case Number 13-O-16985 (Embrace Development/Atlanta Capital Matter)</w:t>
      </w:r>
    </w:p>
    <w:p>
      <w:pPr>
        <w:spacing w:line="480" w:lineRule="auto"/>
      </w:pPr>
      <w:r>
        <w:tab/>
        <w:t>Count Thirteen – respondent willfully violated section 6106  by dishonestly or grossly negligently misappropriating $100,000.00 that he was to maintain in escrow in his client trust account until the occurrence of specified events and without the consent of the parties to the transaction between July 31 and August 2, 2013.</w:t>
      </w:r>
    </w:p>
    <w:p>
      <w:pPr>
        <w:spacing w:line="480" w:lineRule="auto"/>
      </w:pPr>
      <w:r>
        <w:tab/>
        <w:t>Count Fourteen – respondent willfully violated rule 4–100(A) of the Rules of Professional Conduct by withdrawing or transferring $100,000.00 that he was to maintain in escrow in his client trust account until the occurrence of specified events and without the consent of the parties to the transaction between July 31 and August 2, 2013.</w:t>
      </w:r>
    </w:p>
    <w:p>
      <w:pPr>
        <w:spacing w:line="480" w:lineRule="auto"/>
      </w:pPr>
      <w:r>
        <w:rPr>
          <w:b/>
        </w:rPr>
        <w:tab/>
      </w:r>
      <w:r>
        <w:t>Counts Fifteen and Sixteen alleging that respondent willfully violated sections 6106 and 6068, subdivision (a) by breaching his fiduciary duty owed to the parties to the transaction  because he did not safeguard the funds entrusted to him as an escrow agent are dismissed with prejudice as duplicative of Count Thirteen.</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pPr>
      <w:r>
        <w:rPr>
          <w:b/>
        </w:rPr>
        <w:tab/>
      </w:r>
      <w:r>
        <w:t xml:space="preserve">(2) reasonable diligence was used to locate and notify respondent of the proceedings prior to the entry of his default, including:  (a) sending email to respondent’s membership records and other email addresses and making telephone calls to his membership records telephone number </w:t>
      </w:r>
      <w:r>
        <w:lastRenderedPageBreak/>
        <w:t xml:space="preserve">and messages left at his brother’s telephone numbers.  A message could not be left at respondent’s telephone number as the mailbox was full;  (b) researching online and the Daily Journal’s Directory of California Attorneys and calling the telephone number that was found online.  The voicemail greeting indicated that the number had been changed.  A call to the new number resulted in a message stating that the call could not be completed as dialed; and (c) sending, on May 5, 2014, courtesy copies of the NDC by first-class mail to respondent’s official address and three alternate addresses that were in respondent’s case file or obtained by researching the Daily Journal’s Directory of California Attorneys; </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John Jason Gentry Mullins be disbarred from the practice of law in the State of California and that his name be stricken from the roll of attorneys.</w:t>
      </w:r>
    </w:p>
    <w:p>
      <w:pPr>
        <w:spacing w:line="480" w:lineRule="auto"/>
      </w:pPr>
      <w:r>
        <w:rPr>
          <w:b/>
        </w:rPr>
        <w:t>Restitution</w:t>
      </w:r>
    </w:p>
    <w:p>
      <w:pPr>
        <w:spacing w:line="480" w:lineRule="auto"/>
        <w:rPr>
          <w:rFonts w:eastAsiaTheme="minorHAnsi" w:cstheme="minorBidi"/>
          <w:sz w:val="26"/>
          <w:szCs w:val="36"/>
        </w:rPr>
      </w:pPr>
      <w:r>
        <w:rPr>
          <w:rFonts w:eastAsiaTheme="minorHAnsi" w:cstheme="minorBidi"/>
          <w:sz w:val="26"/>
          <w:szCs w:val="36"/>
        </w:rPr>
        <w:tab/>
        <w:t xml:space="preserve">The court further recommends that John Jason Gentry Mullins must make restitution to the following payees.  </w:t>
      </w:r>
      <w:r>
        <w:rPr>
          <w:color w:val="000000"/>
        </w:rPr>
        <w:t xml:space="preserve">If the Client Security Fund (CSF) has reimbursed a payee for all or any portion of the principal amount, respondent must pay restitution to CSF of the </w:t>
      </w:r>
      <w:r>
        <w:rPr>
          <w:color w:val="000000"/>
        </w:rPr>
        <w:lastRenderedPageBreak/>
        <w:t>amount paid plus applicable interest and costs in accordance with Business and Professions Code section 6140.5</w:t>
      </w:r>
      <w:r>
        <w:rPr>
          <w:rFonts w:eastAsiaTheme="minorHAnsi" w:cstheme="minorBidi"/>
          <w:sz w:val="26"/>
          <w:szCs w:val="36"/>
        </w:rPr>
        <w:t>:</w:t>
      </w:r>
    </w:p>
    <w:p>
      <w:pPr>
        <w:numPr>
          <w:ilvl w:val="0"/>
          <w:numId w:val="1"/>
        </w:numPr>
        <w:spacing w:after="240"/>
        <w:ind w:left="1224" w:hanging="504"/>
        <w:rPr>
          <w:rFonts w:eastAsiaTheme="minorHAnsi" w:cstheme="minorBidi"/>
          <w:sz w:val="26"/>
          <w:szCs w:val="36"/>
        </w:rPr>
      </w:pPr>
      <w:r>
        <w:rPr>
          <w:rFonts w:eastAsiaTheme="minorHAnsi" w:cstheme="minorBidi"/>
          <w:sz w:val="26"/>
          <w:szCs w:val="36"/>
        </w:rPr>
        <w:t>Securo Capital Limited in the amount of $296,921.94 plus 10 percent interest per year from May 28, 2013;</w:t>
      </w:r>
    </w:p>
    <w:p>
      <w:pPr>
        <w:numPr>
          <w:ilvl w:val="0"/>
          <w:numId w:val="1"/>
        </w:numPr>
        <w:spacing w:after="240"/>
        <w:ind w:left="1224" w:hanging="504"/>
        <w:rPr>
          <w:rFonts w:eastAsiaTheme="minorHAnsi" w:cstheme="minorBidi"/>
          <w:sz w:val="26"/>
          <w:szCs w:val="36"/>
        </w:rPr>
      </w:pPr>
      <w:r>
        <w:rPr>
          <w:rFonts w:eastAsiaTheme="minorHAnsi" w:cstheme="minorBidi"/>
          <w:sz w:val="26"/>
          <w:szCs w:val="36"/>
        </w:rPr>
        <w:t>8153418 Canada Inc. in the amount of $147,00.00 plus 10 percent interest per year from July 11, 2013;</w:t>
      </w:r>
    </w:p>
    <w:p>
      <w:pPr>
        <w:numPr>
          <w:ilvl w:val="0"/>
          <w:numId w:val="1"/>
        </w:numPr>
        <w:spacing w:after="240"/>
        <w:ind w:left="1224" w:hanging="504"/>
        <w:rPr>
          <w:rFonts w:eastAsiaTheme="minorHAnsi" w:cstheme="minorBidi"/>
          <w:sz w:val="26"/>
          <w:szCs w:val="36"/>
        </w:rPr>
      </w:pPr>
      <w:r>
        <w:rPr>
          <w:rFonts w:eastAsiaTheme="minorHAnsi" w:cstheme="minorBidi"/>
          <w:sz w:val="26"/>
          <w:szCs w:val="36"/>
        </w:rPr>
        <w:t>Kongkia Investment Co., Ltd.,in the amount of $149,984.56 plus 10 percent interest per year from June 19, 2013; and</w:t>
      </w:r>
    </w:p>
    <w:p>
      <w:pPr>
        <w:numPr>
          <w:ilvl w:val="0"/>
          <w:numId w:val="1"/>
        </w:numPr>
        <w:spacing w:after="240"/>
        <w:ind w:left="1224" w:hanging="504"/>
        <w:rPr>
          <w:rFonts w:eastAsiaTheme="minorHAnsi" w:cstheme="minorBidi"/>
          <w:sz w:val="26"/>
          <w:szCs w:val="36"/>
        </w:rPr>
      </w:pPr>
      <w:r>
        <w:rPr>
          <w:rFonts w:eastAsiaTheme="minorHAnsi" w:cstheme="minorBidi"/>
          <w:sz w:val="26"/>
          <w:szCs w:val="36"/>
        </w:rPr>
        <w:t xml:space="preserve">Embrace Development &amp; Management, LLC,in the amount of $100,000.00 plus 10 percent interest per year from August 2, 2013.  </w:t>
      </w:r>
    </w:p>
    <w:p>
      <w:pPr>
        <w:spacing w:line="480" w:lineRule="auto"/>
        <w:rPr>
          <w:rFonts w:eastAsiaTheme="minorHAnsi" w:cstheme="minorBidi"/>
          <w:sz w:val="26"/>
          <w:szCs w:val="36"/>
        </w:rPr>
      </w:pPr>
      <w:r>
        <w:rPr>
          <w:rFonts w:eastAsiaTheme="minorHAnsi" w:cstheme="minorBidi"/>
          <w:sz w:val="26"/>
          <w:szCs w:val="36"/>
        </w:rPr>
        <w:tab/>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John Jason Gentry Mullins, State Bar number 236485, be involuntarily enrolled </w:t>
      </w:r>
    </w:p>
    <w:p>
      <w:pPr>
        <w:spacing w:line="480" w:lineRule="auto"/>
      </w:pPr>
    </w:p>
    <w:p>
      <w:pPr>
        <w:spacing w:line="480" w:lineRule="auto"/>
      </w:pPr>
    </w:p>
    <w:p>
      <w:pPr>
        <w:spacing w:line="480" w:lineRule="auto"/>
      </w:pPr>
      <w:r>
        <w:lastRenderedPageBreak/>
        <w:t>as an inactive member of the State Bar of California, effective three calendar days after the service of this decision and order.  (Rule 5.111(D).)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February _____, 2015</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llw9t282GrlmTuNSzQFNPKe93LQ=" w:salt="miwAdaWL/JlwuuTZs0PsvA=="/>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2212</Words>
  <Characters>11913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2015-02-27T22:14:00Z</dcterms:created>
  <dcterms:modified xsi:type="dcterms:W3CDTF">2015-02-27T22:15:00Z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