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18, 2015</w:t>
      </w:r>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JAMES DARRYL IVEY,</w:t>
            </w:r>
          </w:p>
          <w:p>
            <w:pPr>
              <w:rPr>
                <w:b/>
                <w:bCs/>
              </w:rPr>
            </w:pPr>
          </w:p>
          <w:p>
            <w:pPr>
              <w:rPr>
                <w:b/>
                <w:bCs/>
              </w:rPr>
            </w:pPr>
            <w:r>
              <w:rPr>
                <w:b/>
                <w:bCs/>
              </w:rPr>
              <w:t>Member No. 154832,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14-J-03436-LMA</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 xml:space="preserve">On March 7, 2014, respondent James Darryl Ivey was ordered by the United States Patent and Trademark Office (USPTO) to be disciplined upon findings that he had committed professional misconduct in that jurisdiction.  As a result, the Office of the Chief Trial Counsel of the State Bar of California (State Bar) initiated this proceeding on July 7, 2014.  (Bus. &amp; Prof. Code, § 6049.1; Rules Proc. of State Bar, rules 5.350-5.354.)  </w:t>
      </w:r>
    </w:p>
    <w:p>
      <w:pPr>
        <w:spacing w:line="480" w:lineRule="auto"/>
        <w:ind w:firstLine="720"/>
      </w:pPr>
      <w:r>
        <w:t xml:space="preserve">The issues in this proceeding are limited to:  (1) the degree of discipline to be imposed upon respondent in California; (2) whether, as a matter of law, respondent’s culpability in the USPTO proceeding would not warrant the imposition of discipline in California under the laws or rules applicable in California at the time of respondent’s misconduct in the USPTO; and </w:t>
      </w:r>
    </w:p>
    <w:p>
      <w:pPr>
        <w:spacing w:line="480" w:lineRule="auto"/>
      </w:pPr>
      <w:r>
        <w:t xml:space="preserve">(3) whether the USPTO proceeding lacked fundamental constitutional protection. (Section 6049.1, subdivision (b).)  </w:t>
      </w:r>
    </w:p>
    <w:p>
      <w:pPr>
        <w:spacing w:line="480" w:lineRule="auto"/>
        <w:ind w:firstLine="720"/>
      </w:pPr>
      <w:r>
        <w:t xml:space="preserve">Respondent bears the burden of establishing that the conduct for which he was disciplined by the USPTO would not warrant the imposition of discipline in California and/or </w:t>
      </w:r>
      <w:r>
        <w:lastRenderedPageBreak/>
        <w:t xml:space="preserve">that the USPTO proceedings lacked fundamental constitutional protection.  Unless respondent establishes one or both of these, the record of discipline in the USPTO proceeding is conclusive evidence of respondent’s culpability of misconduct in California.  (Section 6049.1, subdivisions (a) &amp; (b).)  </w:t>
      </w:r>
    </w:p>
    <w:p>
      <w:pPr>
        <w:spacing w:line="480" w:lineRule="auto"/>
        <w:ind w:firstLine="720"/>
      </w:pPr>
      <w:r>
        <w:t>Respondent failed to participate either in person or through counsel, and his default was entered.  The State Bar filed a petition for disbarment under rule 5.85 of the Rules of Procedure of the State Bar.</w:t>
      </w:r>
      <w:r>
        <w:rPr>
          <w:rStyle w:val="FootnoteReference"/>
        </w:rPr>
        <w:footnoteReference w:id="1"/>
      </w:r>
      <w:r>
        <w:t xml:space="preserve">  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16, 1991, and has been a member since then.  </w:t>
      </w:r>
    </w:p>
    <w:p>
      <w:pPr>
        <w:spacing w:line="480" w:lineRule="auto"/>
        <w:rPr>
          <w:b/>
        </w:rPr>
      </w:pPr>
      <w:r>
        <w:rPr>
          <w:b/>
        </w:rPr>
        <w:t>Procedural Requirements Have Been Satisfied</w:t>
      </w:r>
    </w:p>
    <w:p>
      <w:pPr>
        <w:spacing w:line="480" w:lineRule="auto"/>
        <w:ind w:firstLine="720"/>
      </w:pPr>
      <w:r>
        <w:t xml:space="preserve">On July 7, 2014, the State Bar properly filed and served an NDC on respondent by certified mail, return receipt requested, at his membership records address (official address).  The NDC notified respondent that his failure to participate in the proceeding would result in a </w:t>
      </w:r>
      <w:r>
        <w:lastRenderedPageBreak/>
        <w:t xml:space="preserve">disbarment recommendation.  (Rule 5.41.)  The return receipt, which appears to have been signed by respondent , shows delivery on July 11, 2014.  A courtesy copy of the NDC sent to his official address on July 7, 2014, was not returned as undeliverable.  </w:t>
      </w:r>
    </w:p>
    <w:p>
      <w:pPr>
        <w:spacing w:line="480" w:lineRule="auto"/>
      </w:pPr>
      <w:r>
        <w:tab/>
        <w:t>The State Bar made efforts to locate and contact respondent, including (1) contacting the Office of Probation of the State Bar to obtain other contact information for respondent but there was no other information than what the State Bar already had; (2) sending an email and a voicemail to respondent’s State Bar membership records email address and telephone number (official email address and telephone number, respectively) on July 29, 2014.  The voicemail and email informed respondent about the instant matter and the State Bar’s intention to file a motion for entry of default if he did not file a response to the NDC on or before August 1, 2014.  A copy of the NDC was attached to the email.  There was no response to the voicemail or the email; and (3) Locating an additional telephone listing for respondent on July 31, 2014 and leaving a voicemail informing respondent about the instant matter and the State Bar’s intention to file a motion for entry of default if he did not file a response to the NDC on or before August 1, 2014.  There was no response to this voicemail.</w:t>
      </w:r>
    </w:p>
    <w:p>
      <w:pPr>
        <w:spacing w:line="480" w:lineRule="auto"/>
        <w:ind w:firstLine="720"/>
      </w:pPr>
      <w:r>
        <w:t xml:space="preserve">Respondent failed to file a response to the NDC.  On August 4, 2014,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20, 2014.  The order entering the default was served on respondent at his membership records address by certified mail, return receipt requested.  The return receipt, which bears an illegible signature, shows delivery on </w:t>
      </w:r>
      <w:r>
        <w:lastRenderedPageBreak/>
        <w:t>August 21, 2014.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90 days to file motion to set aside default].)  On November 25, 2014, the State Bar filed the petition for disbarment.  As required by rule 5.85(A), the State Bar reported in the petition that:  (1) it had one contact with respondent since the default was entered. </w:t>
      </w:r>
    </w:p>
    <w:p>
      <w:pPr>
        <w:pStyle w:val="Header"/>
        <w:tabs>
          <w:tab w:val="clear" w:pos="4320"/>
          <w:tab w:val="clear" w:pos="8640"/>
        </w:tabs>
        <w:spacing w:line="480" w:lineRule="auto"/>
        <w:ind w:firstLine="90"/>
      </w:pPr>
      <w:r>
        <w:t xml:space="preserve">On October 3, 2014, respondent sent the State Bar an email stating that he had just received the State Bar’s July 29, 2014 email which contained a copy of the NDC.  He stated that he fell out of compliance with probation for financial reasons and assumed that he would default into a two-year suspension.  On that same date, the State Bar replied to the email, informing respondent that his case had defaulted, which could lead to disbarment, and advising him to review rules 5.80-5.85, Rules Proc. of State Bar, to ascertain the steps he may want to take.  There was no further communication from respondent; (2) respondent has no other disciplinary matters pending; </w:t>
      </w:r>
    </w:p>
    <w:p>
      <w:pPr>
        <w:pStyle w:val="Header"/>
        <w:tabs>
          <w:tab w:val="clear" w:pos="4320"/>
          <w:tab w:val="clear" w:pos="8640"/>
        </w:tabs>
        <w:spacing w:line="480" w:lineRule="auto"/>
      </w:pPr>
      <w:r>
        <w:t>(3) respondent has one prior record of discipline; and (4) the Client Security Fund has not made payments resulting from respondent’s conduct.  Respondent did not respond to the petition for disbarment or move to set aside or vacate the default.  The case was submitted for decision on December 23, 2014.</w:t>
      </w:r>
    </w:p>
    <w:p>
      <w:pPr>
        <w:pStyle w:val="Header"/>
        <w:tabs>
          <w:tab w:val="clear" w:pos="4320"/>
          <w:tab w:val="clear" w:pos="8640"/>
        </w:tabs>
        <w:spacing w:line="480" w:lineRule="auto"/>
      </w:pPr>
      <w:r>
        <w:tab/>
        <w:t>Respondent has one prior disciplinary record.</w:t>
      </w:r>
    </w:p>
    <w:p>
      <w:pPr>
        <w:spacing w:line="480" w:lineRule="auto"/>
      </w:pPr>
      <w:r>
        <w:tab/>
        <w:t xml:space="preserve">Pursuant to a Supreme Court order filed on July 24, 2013, respondent was suspended for two years, the execution of which was stayed, and she was placed on probation for two years, on conditions.  Respondent was found culpable of violating rule 3-110(A) (not performing legal services with competence) of the State Bar Rules of Professional Conduct and sections 6068, </w:t>
      </w:r>
      <w:r>
        <w:lastRenderedPageBreak/>
        <w:t xml:space="preserve">subdivisions (i) and (m) (not cooperating in a disciplinary investigation and not communicating with a client, respectively).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rPr>
          <w:b/>
        </w:rPr>
      </w:pPr>
      <w:r>
        <w:rPr>
          <w:b/>
        </w:rPr>
        <w:tab/>
      </w:r>
      <w:r>
        <w:t xml:space="preserve">Upon entry of respondent’s default, the factual allegations in the NDC are deemed admitted and no further proof is required to establish the truth of such facts.  (Rule 5.82.)  Section 6049.1(a) provides, in pertinent part, that a certified copy of a final order by any court of record of any state of the United States, determining that a member of the State Bar committed professional misconduct in that jurisdiction shall be conclusive evidence that, subject to limited exceptions, the member is culpable of professional conduct in this state.  </w:t>
      </w:r>
    </w:p>
    <w:p>
      <w:pPr>
        <w:spacing w:line="480" w:lineRule="auto"/>
        <w:ind w:firstLine="720"/>
      </w:pPr>
      <w:r>
        <w:t>The court finds, as a matter of law, that respondent’s culpability pursuant to 37 C.F.R. §§ 10.23(a) and (b); 10.23(c)(8); 10.77(c); and 10.89(c) in the USPTO proceeding would warrant the imposition of discipline in California under the laws or rules applicable in this State at the time of respondent’s misconduct in the USPTO proceeding, as follows.</w:t>
      </w:r>
    </w:p>
    <w:p>
      <w:pPr>
        <w:spacing w:line="480" w:lineRule="auto"/>
        <w:ind w:firstLine="720"/>
      </w:pPr>
      <w:r>
        <w:rPr>
          <w:b/>
          <w:i/>
        </w:rPr>
        <w:t>(Rule 3-110(A) [Failure to Perform Legal Services with Competence])</w:t>
      </w:r>
    </w:p>
    <w:p>
      <w:pPr>
        <w:spacing w:line="480" w:lineRule="auto"/>
        <w:contextualSpacing/>
      </w:pPr>
      <w:r>
        <w:tab/>
        <w:t xml:space="preserve">By repeatedly not responding to USPTO communications received on behalf of his clients, respondent willfully violated rule 3-110(A), which provides that an attorney must not intentionally, recklessly, or repeatedly fail to perform legal services with competence.  </w:t>
      </w:r>
    </w:p>
    <w:p>
      <w:pPr>
        <w:ind w:left="1440" w:hanging="720"/>
      </w:pPr>
      <w:r>
        <w:rPr>
          <w:b/>
          <w:i/>
        </w:rPr>
        <w:t>(Rule 3-700(A)(2) [Improper Withdrawal from Employment])</w:t>
      </w:r>
    </w:p>
    <w:p/>
    <w:p>
      <w:pPr>
        <w:spacing w:line="480" w:lineRule="auto"/>
        <w:contextualSpacing/>
      </w:pPr>
      <w:r>
        <w:tab/>
        <w:t xml:space="preserve">By abandoning his clients’ patent applications without their knowledge or consent, respondent willfully violated rule 3-700(A)(2), which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  </w:t>
      </w:r>
    </w:p>
    <w:p>
      <w:pPr>
        <w:ind w:left="1440" w:hanging="720"/>
      </w:pPr>
      <w:r>
        <w:rPr>
          <w:b/>
          <w:i/>
        </w:rPr>
        <w:lastRenderedPageBreak/>
        <w:t>(§ 6068, subd. (m) [Failure to Communicate])</w:t>
      </w:r>
    </w:p>
    <w:p/>
    <w:p>
      <w:pPr>
        <w:spacing w:line="480" w:lineRule="auto"/>
        <w:contextualSpacing/>
      </w:pPr>
      <w:r>
        <w:tab/>
        <w:t xml:space="preserve">By not informing his clients about certain notices; not communicating with them about USPTO communications; and not responding to his clients’ various attempts to communicate with him, respondent willfully violated section 6068, subdivision (m), which provides that an attorney has a duty to promptly respond to reasonable status inquiries of clients and to keep clients reasonably informed of significant developments in matters with regard to which the attorney has agreed to provide legal services.  </w:t>
      </w:r>
    </w:p>
    <w:p>
      <w:pPr>
        <w:pStyle w:val="Header"/>
        <w:tabs>
          <w:tab w:val="clear" w:pos="4320"/>
          <w:tab w:val="clear" w:pos="8640"/>
        </w:tabs>
        <w:spacing w:line="480" w:lineRule="auto"/>
        <w:rPr>
          <w:b/>
        </w:rPr>
      </w:pPr>
      <w:r>
        <w:rPr>
          <w:b/>
        </w:rPr>
        <w:t>Disbarment is Recommended under the Rules of Procedure</w:t>
      </w:r>
    </w:p>
    <w:p>
      <w:pPr>
        <w:pStyle w:val="Header"/>
        <w:tabs>
          <w:tab w:val="clear" w:pos="4320"/>
          <w:tab w:val="clear" w:pos="8640"/>
        </w:tabs>
        <w:spacing w:line="480" w:lineRule="auto"/>
      </w:pPr>
      <w:r>
        <w:rPr>
          <w:b/>
        </w:rPr>
        <w:tab/>
      </w:r>
      <w:r>
        <w:t>Based on the above, the court concludes that the requirements of rule 5.85(E) have been satisfied, and respondent’s disbarment must be recommended.  In particular:</w:t>
      </w:r>
    </w:p>
    <w:p>
      <w:pPr>
        <w:pStyle w:val="Header"/>
        <w:tabs>
          <w:tab w:val="clear" w:pos="4320"/>
          <w:tab w:val="clear" w:pos="8640"/>
        </w:tabs>
        <w:spacing w:line="480" w:lineRule="auto"/>
      </w:pPr>
      <w:r>
        <w:rPr>
          <w:b/>
        </w:rPr>
        <w:tab/>
      </w:r>
      <w:r>
        <w:t>(1) the NDC was properly served on respondent under rule 5.25;</w:t>
      </w:r>
    </w:p>
    <w:p>
      <w:pPr>
        <w:spacing w:line="480" w:lineRule="auto"/>
      </w:pPr>
      <w:r>
        <w:rPr>
          <w:b/>
        </w:rPr>
        <w:tab/>
      </w:r>
      <w:r>
        <w:t xml:space="preserve">(2) reasonable diligence was used to locate and notify respondent of the proceedings prior to the entry of his default, including:  (a) contacting the Office of Probation of the State Bar to obtain other contact information for respondent but there was no other information than what the State Bar already had; (b) sending an email and a voicemail to respondent’s official email address and telephone number on July 29, 2014, informing him about the instant matter and the State Bar’s intention to file a motion for entry of default if he did not file a response to the NDC on or before August 1, 2014.  A copy of the NDC was attached to the email.  There was no response to the voicemail or the email; and (c) Locating an additional telephone listing for respondent on July 31, 2014 and leaving a voicemail informing respondent about the instant matter and the State Bar’s intention to file a motion for entry of default if he did not file a response to the NDC on or before August 1, 2014.  There was no response to this voicemail;  </w:t>
      </w:r>
    </w:p>
    <w:p>
      <w:pPr>
        <w:spacing w:line="480" w:lineRule="auto"/>
      </w:pPr>
      <w:r>
        <w:rPr>
          <w:b/>
        </w:rPr>
        <w:tab/>
      </w:r>
      <w:r>
        <w:t>(3) the default was properly entered under rule 5.80; and</w:t>
      </w:r>
    </w:p>
    <w:p>
      <w:pPr>
        <w:spacing w:line="480" w:lineRule="auto"/>
      </w:pPr>
      <w:r>
        <w:rPr>
          <w:b/>
        </w:rPr>
        <w:lastRenderedPageBreak/>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pPr>
      <w:r>
        <w:rPr>
          <w:b/>
        </w:rPr>
        <w:tab/>
      </w:r>
      <w:r>
        <w:t xml:space="preserve">The court recommends that respondent James Darryl Ivey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James Darryl Ivey, State Bar number 154832, be involuntarily enrolled </w:t>
      </w:r>
    </w:p>
    <w:p>
      <w:pPr>
        <w:spacing w:line="480" w:lineRule="auto"/>
      </w:pPr>
    </w:p>
    <w:p>
      <w:pPr>
        <w:spacing w:line="480" w:lineRule="auto"/>
      </w:pPr>
      <w:r>
        <w:lastRenderedPageBreak/>
        <w:t>as an inactive member of the State Bar of California, effective three calendar days after the service of this decision and order.  (Rule 5.111(D).)</w:t>
      </w:r>
    </w:p>
    <w:p>
      <w:pPr>
        <w:spacing w:line="480" w:lineRule="auto"/>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February _____, 2015</w:t>
            </w:r>
          </w:p>
        </w:tc>
        <w:tc>
          <w:tcPr>
            <w:tcW w:w="4565" w:type="dxa"/>
            <w:tcBorders>
              <w:top w:val="single" w:sz="4" w:space="0" w:color="auto"/>
              <w:bottom w:val="nil"/>
              <w:right w:val="nil"/>
            </w:tcBorders>
          </w:tcPr>
          <w:p>
            <w:r>
              <w:t>LUCY M.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B52"/>
    <w:multiLevelType w:val="multilevel"/>
    <w:tmpl w:val="10806F34"/>
    <w:lvl w:ilvl="0">
      <w:start w:val="2"/>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1zDwDf5UJWwKakhsZl5Nf64iMbc=" w:salt="SLmhHD2MLTEQ0pU63IbmDQ=="/>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2037</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2015-02-27T22:11:00Z</dcterms:created>
  <dcterms:modified xsi:type="dcterms:W3CDTF">2015-02-27T22:12:00Z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