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jc w:val="right"/>
        <w:rPr>
          <w:b/>
          <w:sz w:val="36"/>
        </w:rPr>
      </w:pPr>
      <w:bookmarkStart w:id="0" w:name="_GoBack"/>
      <w:bookmarkEnd w:id="0"/>
      <w:r>
        <w:rPr>
          <w:b/>
        </w:rPr>
        <w:t>FILED MARCH 23, 2015</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BYRON EDWIN CONGDON,</w:t>
            </w:r>
          </w:p>
          <w:p>
            <w:pPr>
              <w:rPr>
                <w:b/>
                <w:bCs/>
              </w:rPr>
            </w:pPr>
          </w:p>
          <w:p>
            <w:pPr>
              <w:rPr>
                <w:b/>
                <w:bCs/>
              </w:rPr>
            </w:pPr>
            <w:r>
              <w:rPr>
                <w:b/>
                <w:bCs/>
              </w:rPr>
              <w:t>Member No.  123286,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14-N-02738-DFM</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 xml:space="preserve">In this matter, respondent </w:t>
      </w:r>
      <w:r>
        <w:rPr>
          <w:b/>
        </w:rPr>
        <w:t>Byron Edwin Congdon</w:t>
      </w:r>
      <w:r>
        <w:t xml:space="preserve"> (Respondent) was charged with violating California Rules of Court, rule 9.20(c).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June 10, 1986, and has been a member since then.  </w:t>
      </w:r>
    </w:p>
    <w:p>
      <w:pPr>
        <w:spacing w:line="480" w:lineRule="auto"/>
        <w:rPr>
          <w:b/>
        </w:rPr>
      </w:pPr>
      <w:r>
        <w:rPr>
          <w:b/>
        </w:rPr>
        <w:t>Procedural Requirements Have Been Satisfied</w:t>
      </w:r>
    </w:p>
    <w:p>
      <w:pPr>
        <w:spacing w:line="480" w:lineRule="auto"/>
        <w:ind w:firstLine="720"/>
      </w:pPr>
      <w:r>
        <w:t>On June 11, 2014, the State Bar properly filed and served an Amended Notice of Disciplinary Charges (NDC)</w:t>
      </w:r>
      <w:r>
        <w:rPr>
          <w:rStyle w:val="FootnoteReference"/>
        </w:rPr>
        <w:footnoteReference w:id="3"/>
      </w:r>
      <w:r>
        <w:t xml:space="preserve"> on Respondent by certified mail, return receipt requested, at his membership records address.  The amended NDC notified Respondent that his failure to participate in the proceeding would result in a disbarment recommendation.  (Rule 5.41.)  The amended NDC was not returned to the State Bar by the U.S. Postal Service as undeliverable or for any other reason.  </w:t>
      </w:r>
    </w:p>
    <w:p>
      <w:pPr>
        <w:spacing w:line="480" w:lineRule="auto"/>
        <w:ind w:firstLine="720"/>
      </w:pPr>
      <w:r>
        <w:t xml:space="preserve">In addition, reasonable diligence was also used to notify Respondent of this proceeding.  The State Bar made several attempts to contact Respondent.  These efforts included calling him at his membership records telephone number, sending an email to him at his non-public State Bar email address, checking for alternative contact information with his State Bar probation deputy, receiving a voicemail message from Respondent and calling the alternative telephone number he provided in his voicemail message, and speaking with the manager of Respondent’s former office building.  </w:t>
      </w:r>
    </w:p>
    <w:p>
      <w:pPr>
        <w:spacing w:line="480" w:lineRule="auto"/>
        <w:ind w:firstLine="720"/>
      </w:pPr>
      <w:r>
        <w:t xml:space="preserve">Respondent failed to file a response to the NDC.  On July 18, 2014, the State Bar filed and properly served a motion for entry of Respondent’s default.  The motion complied with all the requirements for a default, including a supporting declaration of reasonable diligence by the </w:t>
      </w:r>
      <w:r>
        <w:lastRenderedPageBreak/>
        <w:t>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18,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90 days to file motion to set aside default].)  On November 24, 2014, the State Bar filed the petition for disbarment.  As required by rule 5.85(A), the State Bar reported in the petition that:  (1) it has had no contact with Respondent since the default was entered; (2) Respondent has one other disciplinary matter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January 21, 2015.  </w:t>
      </w:r>
    </w:p>
    <w:p>
      <w:pPr>
        <w:pStyle w:val="Header"/>
        <w:tabs>
          <w:tab w:val="clear" w:pos="4320"/>
          <w:tab w:val="clear" w:pos="8640"/>
        </w:tabs>
        <w:spacing w:line="480" w:lineRule="auto"/>
        <w:ind w:firstLine="720"/>
      </w:pPr>
      <w:r>
        <w:t xml:space="preserve">Respondent has been disciplined on three prior occasions.  </w:t>
      </w:r>
    </w:p>
    <w:p>
      <w:pPr>
        <w:pStyle w:val="Header"/>
        <w:tabs>
          <w:tab w:val="clear" w:pos="4320"/>
          <w:tab w:val="clear" w:pos="8640"/>
        </w:tabs>
        <w:spacing w:line="480" w:lineRule="auto"/>
        <w:ind w:firstLine="720"/>
      </w:pPr>
      <w:r>
        <w:t xml:space="preserve">Effective November 7, 2006, Respondent was publicly reproved with conditions of reproval in State Bar Court case No. 05-O-03890.  In that matter, Respondent stipulated to a single count of failing to cooperate with or participate in a disciplinary investigation.  </w:t>
      </w:r>
    </w:p>
    <w:p>
      <w:pPr>
        <w:pStyle w:val="Header"/>
        <w:tabs>
          <w:tab w:val="clear" w:pos="4320"/>
          <w:tab w:val="clear" w:pos="8640"/>
        </w:tabs>
        <w:spacing w:line="480" w:lineRule="auto"/>
        <w:ind w:firstLine="720"/>
      </w:pPr>
      <w:r>
        <w:t xml:space="preserve">Pursuant to a Supreme Court order filed on June 28, 2012, in case No. S200695 (State Bar Court case Nos. 10-O-11270 and 11-O-18100), Respondent was suspended for two years, the execution of which was stayed, and he was placed on probation for two years, including a 90-day period of actual suspension.  In that matter, Respondent stipulated to three counts of misconduct in two matters, including failing to respond to reasonable client status inquiries, failing to communicate significant developments, and practicing law while not entitled to do so.  </w:t>
      </w:r>
    </w:p>
    <w:p>
      <w:pPr>
        <w:pStyle w:val="Header"/>
        <w:tabs>
          <w:tab w:val="clear" w:pos="4320"/>
          <w:tab w:val="clear" w:pos="8640"/>
        </w:tabs>
        <w:spacing w:line="480" w:lineRule="auto"/>
        <w:ind w:firstLine="720"/>
      </w:pPr>
      <w:r>
        <w:t xml:space="preserve">Pursuant to Supreme Court order filed on January 14, 2014, in case No. S200695 (State Bar Court case No. 13-PM-15389), Respondent’s probation was revoked and he was actually suspended for two years and until he provides proof to the State Bar Court of his rehabilitation, fitness to practice, and learning and ability in the general law.  In that default matter, Respondent was found culpable of violating the terms of his prior disciplinary probation.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  </w:t>
      </w:r>
    </w:p>
    <w:p>
      <w:pPr>
        <w:spacing w:line="480" w:lineRule="auto"/>
        <w:ind w:firstLine="720"/>
        <w:rPr>
          <w:b/>
        </w:rPr>
      </w:pPr>
      <w:r>
        <w:rPr>
          <w:b/>
        </w:rPr>
        <w:t>Case Number 14-N-02738 – The Rule 9.20 Matter</w:t>
      </w:r>
    </w:p>
    <w:p>
      <w:pPr>
        <w:autoSpaceDE w:val="0"/>
        <w:autoSpaceDN w:val="0"/>
        <w:adjustRightInd w:val="0"/>
        <w:spacing w:line="480" w:lineRule="auto"/>
        <w:ind w:firstLine="720"/>
      </w:pPr>
      <w:r>
        <w:t>Respondent failed to file with the clerk of the State Bar Court a declaration of compliance with California Rules of Court, rule 9.20, in conformity with the requirements of rule 9.20(c) by March 25, 2014, as required by the Supreme Court, in willful violation of California Rules of Court, rule 9.20.</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5.85(F)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w:t>
      </w:r>
      <w:r>
        <w:rPr>
          <w:b/>
        </w:rPr>
        <w:t>Byron Edwin Congdon</w:t>
      </w:r>
      <w:r>
        <w:t xml:space="preserve">, State Bar number 123286,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rPr>
          <w:b/>
        </w:rPr>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w:t>
      </w:r>
      <w:r>
        <w:rPr>
          <w:b/>
        </w:rPr>
        <w:t>Byron Edwin Congdon</w:t>
      </w:r>
      <w:r>
        <w:t>, State Bar number 123286,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2015</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Pr>
        <w:footnoteRef/>
      </w:r>
      <w:r>
        <w:t xml:space="preserve"> Unless otherwise indicated, all references to rules are to this source.</w:t>
      </w:r>
    </w:p>
  </w:footnote>
  <w:footnote w:id="2">
    <w:p>
      <w:pPr>
        <w:pStyle w:val="FootnoteText"/>
        <w:spacing w:after="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3">
    <w:p>
      <w:pPr>
        <w:pStyle w:val="FootnoteText"/>
      </w:pPr>
      <w:r>
        <w:rPr>
          <w:rStyle w:val="FootnoteReference"/>
        </w:rPr>
        <w:footnoteRef/>
      </w:r>
      <w:r>
        <w:t xml:space="preserve"> The original notice of disciplinary charges was filed two days earlier, on June 9,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forms" w:enforcement="1" w:cryptProviderType="rsaFull" w:cryptAlgorithmClass="hash" w:cryptAlgorithmType="typeAny" w:cryptAlgorithmSid="4" w:cryptSpinCount="100000" w:hash="VjyN969Jxeglth0qIhrX5HKS6x4=" w:salt="Cd1ZL7/Ehx845boK1lJAyg=="/>
  <w:defaultTabStop w:val="720"/>
  <w:drawingGridHorizontalSpacing w:val="120"/>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7262</Characters>
  <Application>Microsoft Office Word</Application>
  <DocSecurity>0</DocSecurity>
  <Lines>151</Lines>
  <Paragraphs>64</Paragraphs>
  <ScaleCrop>false</ScaleCrop>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2015-04-13T19:09:00Z</dcterms:created>
  <dcterms:modified xsi:type="dcterms:W3CDTF">2015-04-13T19:09:00Z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