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right="360"/>
        <w:jc w:val="right"/>
        <w:rPr>
          <w:b/>
          <w:sz w:val="36"/>
        </w:rPr>
      </w:pPr>
      <w:bookmarkStart w:id="0" w:name="_GoBack"/>
      <w:bookmarkEnd w:id="0"/>
      <w:r>
        <w:rPr>
          <w:b/>
        </w:rPr>
        <w:t>FILED APRIL 6, 2015</w:t>
      </w:r>
    </w:p>
    <w:p/>
    <w:p/>
    <w:p/>
    <w:p/>
    <w:p/>
    <w:p/>
    <w:p>
      <w:pPr>
        <w:pStyle w:val="Heading1"/>
      </w:pPr>
      <w:r>
        <w:t>STATE BAR COURT OF CALIFORNIA</w:t>
      </w:r>
    </w:p>
    <w:p>
      <w:pPr>
        <w:spacing w:line="480" w:lineRule="auto"/>
        <w:jc w:val="center"/>
        <w:rPr>
          <w:b/>
          <w:bCs/>
        </w:rPr>
      </w:pPr>
      <w:r>
        <w:rPr>
          <w:b/>
          <w:bCs/>
        </w:rPr>
        <w:t xml:space="preserve">HEARING DEPARTMENT – SAN FRANCISCO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LESLEY ANNE REGINA,</w:t>
            </w:r>
          </w:p>
          <w:p>
            <w:pPr>
              <w:rPr>
                <w:b/>
                <w:bCs/>
              </w:rPr>
            </w:pPr>
          </w:p>
          <w:p>
            <w:pPr>
              <w:rPr>
                <w:b/>
                <w:bCs/>
              </w:rPr>
            </w:pPr>
            <w:r>
              <w:rPr>
                <w:b/>
                <w:bCs/>
              </w:rPr>
              <w:t>Member No. 209541,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14-O-00401-LMA (14-O-01431; 14-O-01768)</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Lesley Anne Regina</w:t>
      </w:r>
      <w:r>
        <w:t xml:space="preserve"> (respondent) was charged with 11 counts of violations of the Rules of Professional Conduct and the Business and Professions Code</w:t>
      </w:r>
      <w:r>
        <w:rPr>
          <w:rStyle w:val="FootnoteReference"/>
        </w:rPr>
        <w:footnoteReference w:id="1"/>
      </w:r>
      <w:r>
        <w:t xml:space="preserve"> involving three clients.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lastRenderedPageBreak/>
        <w:t>and the attorney fails to have the default set aside or vacated within 90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4, 2000, and has been a member since then.</w:t>
      </w:r>
    </w:p>
    <w:p>
      <w:pPr>
        <w:spacing w:line="480" w:lineRule="auto"/>
        <w:rPr>
          <w:b/>
        </w:rPr>
      </w:pPr>
      <w:r>
        <w:rPr>
          <w:b/>
        </w:rPr>
        <w:t>Procedural Requirements Have Been Satisfied</w:t>
      </w:r>
    </w:p>
    <w:p>
      <w:pPr>
        <w:spacing w:line="480" w:lineRule="auto"/>
      </w:pPr>
      <w:r>
        <w:rPr>
          <w:b/>
        </w:rPr>
        <w:tab/>
      </w:r>
      <w:r>
        <w:t>On July 1, 2014, the State Bar filed and properly served the NDC on respondent by certified mail, return receipt requested, to her membership records address.  A courtesy copy of the NDC was also sent to her official address by regular first class mail.  The NDC notified respondent that her failure to participate in the proceeding would result in a disbarment recommendation.  (Rule 5.41.)  The NDCs sent to her official address were returned by the U.S. Postal Service as undeliverable.</w:t>
      </w:r>
    </w:p>
    <w:p>
      <w:pPr>
        <w:spacing w:line="480" w:lineRule="auto"/>
        <w:ind w:firstLine="720"/>
      </w:pPr>
      <w:r>
        <w:t xml:space="preserve">In addition, reasonable diligence was also used to notify respondent of this proceeding.  The State Bar attempted to locate respondent by calling opposing and successor counsel in the matters alleged in the NDC; by contacting a deputy district attorney in the Alameda County regarding respondent's next scheduled court appearances; by checking the Contra Costa County Superior Court docket for matters for which respondent was the attorney of record; by visiting respondent's office; by contacting respondent's paralegal; and by contacting respondent's landlord who last saw her in October 2013.  The State Bar attempted to reach respondent at her </w:t>
      </w:r>
      <w:r>
        <w:lastRenderedPageBreak/>
        <w:t xml:space="preserve">official membership records telephone number and at another telephone number found through a webpage advertisement.  The State Bar was unable to reach her.  </w:t>
      </w:r>
    </w:p>
    <w:p>
      <w:pPr>
        <w:spacing w:line="480" w:lineRule="auto"/>
      </w:pPr>
      <w:r>
        <w:tab/>
        <w:t xml:space="preserve">To date, respondent has not contacted the State Bar.  </w:t>
      </w:r>
    </w:p>
    <w:p>
      <w:pPr>
        <w:spacing w:line="480" w:lineRule="auto"/>
        <w:ind w:firstLine="720"/>
      </w:pPr>
      <w:r>
        <w:t>Respondent failed to file a response to the NDC.  On July 28, 2014,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August 13, 2014.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She has remained inactively enrolled since that time.</w:t>
      </w:r>
    </w:p>
    <w:p>
      <w:pPr>
        <w:spacing w:line="480" w:lineRule="auto"/>
      </w:pPr>
      <w:r>
        <w:tab/>
        <w:t xml:space="preserve">Respondent did not seek to have her default set aside or vacated.  (Rule 5.83(C)(1) [attorney has 90 days to file motion to set aside default].)  </w:t>
      </w:r>
    </w:p>
    <w:p>
      <w:pPr>
        <w:spacing w:line="480" w:lineRule="auto"/>
      </w:pPr>
      <w:r>
        <w:tab/>
        <w:t xml:space="preserve">On December 22, 2014, the State Bar filed and properly served the petition for disbarment on respondent at her official membership records address.  As required by rule 5.85(A), the State Bar reported in the petition that (1) there has been no contact with respondent since her default was entered; (2) there are other disciplinary matters pending against respondent; (3) respondent has no prior record of discipline; and (4) the Client Security Fund has not made any payments as a result of respondent’s conduct; but a number of claims are pending.  </w:t>
      </w:r>
      <w:r>
        <w:lastRenderedPageBreak/>
        <w:t xml:space="preserve">Respondent did not respond to the petition for disbarment or move to set aside or vacate the default.  The case was submitted for decision on January 20, 2015.  </w:t>
      </w:r>
      <w:r>
        <w:tab/>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numPr>
          <w:ilvl w:val="0"/>
          <w:numId w:val="1"/>
        </w:numPr>
        <w:spacing w:line="480" w:lineRule="auto"/>
        <w:ind w:left="1080"/>
        <w:rPr>
          <w:b/>
        </w:rPr>
      </w:pPr>
      <w:r>
        <w:rPr>
          <w:b/>
        </w:rPr>
        <w:t>Case Number 14-O-00401 (Livsey Matter)</w:t>
      </w:r>
    </w:p>
    <w:p>
      <w:pPr>
        <w:spacing w:line="480" w:lineRule="auto"/>
        <w:ind w:firstLine="720"/>
      </w:pPr>
      <w:r>
        <w:t>Count 1 – Respondent willfully violated rule 3-110(A) of the Rules of Professional Conduct (failure to perform legal services with competence) by failing to communicate with opposing counsel, failing to properly substitute out of the marital dissolution matter, failing to resubmit a corrected dissolution judgment, and failing to take any further action on behalf of her client, Donald Livsey.</w:t>
      </w:r>
    </w:p>
    <w:p>
      <w:pPr>
        <w:spacing w:line="480" w:lineRule="auto"/>
        <w:ind w:firstLine="720"/>
      </w:pPr>
      <w:r>
        <w:t xml:space="preserve">Count 2 – Respondent willfully violated rule 3-700(A)(2) of the Rules of Professional Conduct (improper withdrawal from employment) by failing to take reasonable steps to avoid reasonably foreseeable prejudice to the rights of her client and thereafter failing to inform the client that she was withdrawing from employment.   </w:t>
      </w:r>
    </w:p>
    <w:p>
      <w:pPr>
        <w:spacing w:line="480" w:lineRule="auto"/>
        <w:ind w:firstLine="720"/>
        <w:rPr>
          <w:color w:val="000000"/>
        </w:rPr>
      </w:pPr>
      <w:r>
        <w:t>Count 3 – R</w:t>
      </w:r>
      <w:r>
        <w:rPr>
          <w:color w:val="000000"/>
        </w:rPr>
        <w:t xml:space="preserve">espondent willfully violated rule 3-700(D)(2) of the Rules of Professional Conduct (failure to return unearned fees) by failing to promptly refund any part of the $5,000 in unearned fees upon her termination of employment on October 29, 2013.  </w:t>
      </w:r>
    </w:p>
    <w:p>
      <w:pPr>
        <w:spacing w:line="480" w:lineRule="auto"/>
        <w:ind w:firstLine="720"/>
        <w:rPr>
          <w:color w:val="000000"/>
        </w:rPr>
      </w:pPr>
    </w:p>
    <w:p>
      <w:pPr>
        <w:spacing w:line="480" w:lineRule="auto"/>
        <w:ind w:firstLine="720"/>
        <w:rPr>
          <w:color w:val="000000"/>
        </w:rPr>
      </w:pPr>
    </w:p>
    <w:p>
      <w:pPr>
        <w:spacing w:line="480" w:lineRule="auto"/>
        <w:ind w:firstLine="720"/>
        <w:rPr>
          <w:color w:val="000000"/>
        </w:rPr>
      </w:pPr>
    </w:p>
    <w:p>
      <w:pPr>
        <w:numPr>
          <w:ilvl w:val="0"/>
          <w:numId w:val="1"/>
        </w:numPr>
        <w:spacing w:line="480" w:lineRule="auto"/>
        <w:ind w:left="1080"/>
        <w:rPr>
          <w:b/>
        </w:rPr>
      </w:pPr>
      <w:r>
        <w:rPr>
          <w:b/>
        </w:rPr>
        <w:lastRenderedPageBreak/>
        <w:t>Case Number 14-O-01431 (Kobashikawa Matter)</w:t>
      </w:r>
    </w:p>
    <w:p>
      <w:pPr>
        <w:spacing w:line="480" w:lineRule="auto"/>
        <w:ind w:firstLine="720"/>
        <w:rPr>
          <w:b/>
        </w:rPr>
      </w:pPr>
      <w:r>
        <w:t>Count 4 – Respondent willfully violated rule 3-110(A) of the Rules of Professional Conduct by failing to perform any legal services of value on behalf of her client, Annie Meza Kobashikawa.</w:t>
      </w:r>
    </w:p>
    <w:p>
      <w:pPr>
        <w:spacing w:line="480" w:lineRule="auto"/>
        <w:ind w:firstLine="720"/>
      </w:pPr>
      <w:r>
        <w:rPr>
          <w:color w:val="000000"/>
        </w:rPr>
        <w:t xml:space="preserve">Count 5 </w:t>
      </w:r>
      <w:r>
        <w:t xml:space="preserve">– Respondent willfully violated section 6068, subdivision (m) (failure to respond to reasonable client status inquiries and to inform client of significant development), by failing to respond to her client's status inquiries.  </w:t>
      </w:r>
    </w:p>
    <w:p>
      <w:pPr>
        <w:spacing w:line="480" w:lineRule="auto"/>
        <w:ind w:firstLine="720"/>
      </w:pPr>
      <w:r>
        <w:t xml:space="preserve">Count 6 – Respondent willfully violated rule 3-700(A)(2) of the Rules of Professional Conduct by failing to take any action on the client's behalf after July 10, 2013, and thereafter failing to inform the client that she was withdrawing from employment.   </w:t>
      </w:r>
    </w:p>
    <w:p>
      <w:pPr>
        <w:spacing w:line="480" w:lineRule="auto"/>
        <w:ind w:firstLine="720"/>
        <w:rPr>
          <w:color w:val="000000"/>
        </w:rPr>
      </w:pPr>
      <w:r>
        <w:t>Count 7 – R</w:t>
      </w:r>
      <w:r>
        <w:rPr>
          <w:color w:val="000000"/>
        </w:rPr>
        <w:t xml:space="preserve">espondent willfully violated rule 3-700(D)(2) of the Rules of Professional Conduct by failing to promptly refund any part of the $4,259.75 in unearned fees upon her termination of employment on October 29, 2013.  </w:t>
      </w:r>
    </w:p>
    <w:p>
      <w:pPr>
        <w:numPr>
          <w:ilvl w:val="0"/>
          <w:numId w:val="1"/>
        </w:numPr>
        <w:spacing w:line="480" w:lineRule="auto"/>
        <w:ind w:left="1080"/>
        <w:rPr>
          <w:b/>
        </w:rPr>
      </w:pPr>
      <w:r>
        <w:rPr>
          <w:b/>
        </w:rPr>
        <w:t>Case Number 14-O-01768 (Conder Matter)</w:t>
      </w:r>
    </w:p>
    <w:p>
      <w:pPr>
        <w:spacing w:line="480" w:lineRule="auto"/>
        <w:ind w:firstLine="720"/>
        <w:rPr>
          <w:color w:val="000000"/>
        </w:rPr>
      </w:pPr>
      <w:r>
        <w:t>Count 8 – R</w:t>
      </w:r>
      <w:r>
        <w:rPr>
          <w:color w:val="000000"/>
        </w:rPr>
        <w:t xml:space="preserve">espondent willfully violated rule 3-700(D)(2) of the Rules of Professional Conduct by failing to promptly refund any part of the $900 in unearned fees upon her termination of employment on October 29, 2013 to her client, </w:t>
      </w:r>
      <w:r>
        <w:t>David Conder</w:t>
      </w:r>
      <w:r>
        <w:rPr>
          <w:color w:val="000000"/>
        </w:rPr>
        <w:t xml:space="preserve">.  </w:t>
      </w:r>
    </w:p>
    <w:p>
      <w:pPr>
        <w:spacing w:line="480" w:lineRule="auto"/>
        <w:ind w:firstLine="720"/>
      </w:pPr>
      <w:r>
        <w:rPr>
          <w:color w:val="000000"/>
        </w:rPr>
        <w:t xml:space="preserve">Count 9 </w:t>
      </w:r>
      <w:r>
        <w:t xml:space="preserve">– Respondent willfully violated section 6068, subdivision (m), by failing to respond to her client's status inquiries.  </w:t>
      </w:r>
    </w:p>
    <w:p>
      <w:pPr>
        <w:spacing w:line="480" w:lineRule="auto"/>
        <w:ind w:firstLine="720"/>
      </w:pPr>
      <w:r>
        <w:t xml:space="preserve">Count 10 – Respondent willfully violated rule 3-700(A)(2) of the Rules of Professional Conduct by failing to take any action on the client's behalf, and thereafter failing to inform the client that she was withdrawing from employment.   </w:t>
      </w:r>
    </w:p>
    <w:p>
      <w:pPr>
        <w:spacing w:line="480" w:lineRule="auto"/>
        <w:ind w:firstLine="720"/>
      </w:pPr>
    </w:p>
    <w:p>
      <w:pPr>
        <w:spacing w:line="480" w:lineRule="auto"/>
        <w:ind w:firstLine="720"/>
      </w:pPr>
    </w:p>
    <w:p>
      <w:pPr>
        <w:numPr>
          <w:ilvl w:val="0"/>
          <w:numId w:val="1"/>
        </w:numPr>
        <w:spacing w:line="480" w:lineRule="auto"/>
        <w:ind w:left="1080"/>
        <w:rPr>
          <w:b/>
        </w:rPr>
      </w:pPr>
      <w:r>
        <w:rPr>
          <w:b/>
        </w:rPr>
        <w:lastRenderedPageBreak/>
        <w:t xml:space="preserve">Case Numbers </w:t>
      </w:r>
      <w:r>
        <w:rPr>
          <w:b/>
          <w:bCs/>
        </w:rPr>
        <w:t xml:space="preserve">14-O-00401; 14-O-01431; and </w:t>
      </w:r>
      <w:r>
        <w:rPr>
          <w:b/>
        </w:rPr>
        <w:t>14-O-01768</w:t>
      </w:r>
    </w:p>
    <w:p>
      <w:pPr>
        <w:spacing w:line="480" w:lineRule="auto"/>
        <w:ind w:firstLine="720"/>
      </w:pPr>
      <w:r>
        <w:t xml:space="preserve">Count 11 – Respondent willfully violated section 6068, subdivision (j) (failure to update membership address), by failing to notify the State Bar of the change in her address and telephone number when she moved out of her office in October 2013.  </w:t>
      </w:r>
    </w:p>
    <w:p>
      <w:pPr>
        <w:spacing w:line="480" w:lineRule="auto"/>
        <w:rPr>
          <w:b/>
        </w:rPr>
      </w:pPr>
      <w:r>
        <w:rPr>
          <w:b/>
        </w:rPr>
        <w:t>Disbarment Is Recommended</w:t>
      </w:r>
    </w:p>
    <w:p>
      <w:pPr>
        <w:spacing w:line="480" w:lineRule="auto"/>
      </w:pPr>
      <w:r>
        <w:tab/>
        <w:t>Based on the above, the court concludes that the requirements of rule 5.85(F)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pPr>
      <w:r>
        <w:t>(2) reasonable diligence was used to notify respondent of the proceedings prior to the entry of her default, as the NDC was served on respondent at her membership records address and the State Bar attempted to locate respondent by telephone and by contacting various parties, including her landlord, paralegal, opposing counsel, successor counsel, and the deputy district attorney;</w:t>
      </w:r>
    </w:p>
    <w:p>
      <w:pPr>
        <w:tabs>
          <w:tab w:val="left" w:pos="0"/>
        </w:tabs>
        <w:spacing w:line="480" w:lineRule="auto"/>
        <w:ind w:firstLine="720"/>
      </w:pP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t xml:space="preserve"> </w:t>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Lesley Anne Regina</w:t>
      </w:r>
      <w:r>
        <w:t xml:space="preserve"> be disbarred from the practice of law in the State of California and that her name be stricken from the roll of attorneys.</w:t>
      </w:r>
    </w:p>
    <w:p>
      <w:pPr>
        <w:spacing w:line="480" w:lineRule="auto"/>
        <w:rPr>
          <w:b/>
        </w:rPr>
      </w:pPr>
      <w:r>
        <w:rPr>
          <w:b/>
        </w:rPr>
        <w:lastRenderedPageBreak/>
        <w:t xml:space="preserve">Restitution </w:t>
      </w:r>
    </w:p>
    <w:p>
      <w:pPr>
        <w:spacing w:line="480" w:lineRule="auto"/>
      </w:pPr>
      <w:r>
        <w:rPr>
          <w:b/>
        </w:rPr>
        <w:tab/>
      </w:r>
      <w:r>
        <w:t>The court also recommends that respondent be ordered to make restitution to the</w:t>
      </w:r>
    </w:p>
    <w:p>
      <w:r>
        <w:t>following payees:</w:t>
      </w:r>
    </w:p>
    <w:p>
      <w:pPr>
        <w:ind w:left="1080" w:hanging="360"/>
      </w:pPr>
    </w:p>
    <w:p>
      <w:pPr>
        <w:pStyle w:val="ListParagraph"/>
        <w:numPr>
          <w:ilvl w:val="0"/>
          <w:numId w:val="2"/>
        </w:numPr>
        <w:ind w:left="1170" w:hanging="450"/>
      </w:pPr>
      <w:r>
        <w:rPr>
          <w:color w:val="000000"/>
          <w:spacing w:val="4"/>
        </w:rPr>
        <w:t xml:space="preserve">Donald Livsey </w:t>
      </w:r>
      <w:r>
        <w:t xml:space="preserve">in the amount of </w:t>
      </w:r>
      <w:r>
        <w:rPr>
          <w:color w:val="000000"/>
        </w:rPr>
        <w:t xml:space="preserve">$5,000 </w:t>
      </w:r>
      <w:r>
        <w:t xml:space="preserve">plus 10 percent interest per year from October 29, 2013; </w:t>
      </w:r>
    </w:p>
    <w:p>
      <w:pPr>
        <w:pStyle w:val="ListParagraph"/>
      </w:pPr>
    </w:p>
    <w:p>
      <w:pPr>
        <w:pStyle w:val="ListParagraph"/>
        <w:numPr>
          <w:ilvl w:val="0"/>
          <w:numId w:val="2"/>
        </w:numPr>
        <w:ind w:left="1170" w:hanging="450"/>
      </w:pPr>
      <w:r>
        <w:t xml:space="preserve">Annie Meza Kobashikawa in the amount of </w:t>
      </w:r>
      <w:r>
        <w:rPr>
          <w:color w:val="000000"/>
        </w:rPr>
        <w:t xml:space="preserve">$4,259.75 </w:t>
      </w:r>
      <w:r>
        <w:t xml:space="preserve">plus 10 percent interest per year from October 29, 2013; and </w:t>
      </w:r>
    </w:p>
    <w:p>
      <w:pPr>
        <w:pStyle w:val="ListParagraph"/>
      </w:pPr>
    </w:p>
    <w:p>
      <w:pPr>
        <w:pStyle w:val="ListParagraph"/>
        <w:numPr>
          <w:ilvl w:val="0"/>
          <w:numId w:val="2"/>
        </w:numPr>
        <w:ind w:left="1170" w:hanging="450"/>
      </w:pPr>
      <w:r>
        <w:t xml:space="preserve">David Conder in the amount of </w:t>
      </w:r>
      <w:r>
        <w:rPr>
          <w:color w:val="000000"/>
        </w:rPr>
        <w:t xml:space="preserve">$900 </w:t>
      </w:r>
      <w:r>
        <w:t>plus 10 percent interest per year from October 29, 2013.</w:t>
      </w:r>
    </w:p>
    <w:p>
      <w:pPr>
        <w:pStyle w:val="ListParagraph"/>
        <w:ind w:left="1170"/>
      </w:pPr>
      <w:r>
        <w:t xml:space="preserve">                         </w:t>
      </w:r>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t>
      </w:r>
      <w:r>
        <w:rPr>
          <w:bCs/>
        </w:rPr>
        <w:t>Lesley Anne Regina</w:t>
      </w:r>
      <w:r>
        <w:t xml:space="preserve">, State Bar number 209541, be involuntarily enrolled as an </w:t>
      </w:r>
    </w:p>
    <w:p>
      <w:pPr>
        <w:spacing w:line="480" w:lineRule="auto"/>
      </w:pPr>
    </w:p>
    <w:p>
      <w:pPr>
        <w:spacing w:line="480" w:lineRule="auto"/>
      </w:pPr>
    </w:p>
    <w:p>
      <w:pPr>
        <w:spacing w:line="480" w:lineRule="auto"/>
      </w:pPr>
      <w:r>
        <w:lastRenderedPageBreak/>
        <w:t>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April _____, 2015</w:t>
            </w:r>
          </w:p>
        </w:tc>
        <w:tc>
          <w:tcPr>
            <w:tcW w:w="4565" w:type="dxa"/>
            <w:tcBorders>
              <w:top w:val="single" w:sz="4" w:space="0" w:color="auto"/>
              <w:bottom w:val="nil"/>
              <w:right w:val="nil"/>
            </w:tcBorders>
          </w:tcPr>
          <w:p>
            <w:r>
              <w:t xml:space="preserve">LUCY ARMENDARIZ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p>
      <w:pPr>
        <w:pStyle w:val="FootnoteText"/>
      </w:pPr>
    </w:p>
  </w:footnote>
  <w:footnote w:id="2">
    <w:p>
      <w:pPr>
        <w:pStyle w:val="FootnoteText"/>
      </w:pPr>
      <w:r>
        <w:rPr>
          <w:rStyle w:val="FootnoteReference"/>
        </w:rPr>
        <w:footnoteRef/>
      </w:r>
      <w:r>
        <w:t xml:space="preserve"> Unless otherwise indicated, all references to rules are to this source.  </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914"/>
    <w:multiLevelType w:val="hybridMultilevel"/>
    <w:tmpl w:val="F738E240"/>
    <w:lvl w:ilvl="0" w:tplc="6B6C6F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3B667A"/>
    <w:multiLevelType w:val="hybridMultilevel"/>
    <w:tmpl w:val="09B81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7U/qlu0XEXrxhMuGYaE2P3gofMA=" w:salt="ioAqbC7EnbcgonjtD+sPkA=="/>
  <w:defaultTabStop w:val="720"/>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2015-04-18T00:05:00Z</dcterms:created>
  <dcterms:modified xsi:type="dcterms:W3CDTF">2015-04-18T00:05:00Z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