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MAY 18, 2015</w:t>
      </w:r>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ALMA LUNA REYES,</w:t>
            </w:r>
          </w:p>
          <w:p>
            <w:pPr>
              <w:rPr>
                <w:b/>
                <w:bCs/>
              </w:rPr>
            </w:pPr>
          </w:p>
          <w:p>
            <w:pPr>
              <w:rPr>
                <w:b/>
                <w:bCs/>
              </w:rPr>
            </w:pPr>
            <w:r>
              <w:rPr>
                <w:b/>
                <w:bCs/>
              </w:rPr>
              <w:t>Member No.  237491,</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14-O-00778-LMA</w:t>
            </w:r>
          </w:p>
          <w:p>
            <w:pPr>
              <w:rPr>
                <w:bCs/>
              </w:rPr>
            </w:pP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respondent Alma Luna Reyes was charged with seven counts of misconduct stemming from a single client matter.  Respondent failed to participate either in person or through counsel, and her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90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July 14, 2005, and has been a member since then.  </w:t>
      </w:r>
    </w:p>
    <w:p>
      <w:pPr>
        <w:spacing w:line="480" w:lineRule="auto"/>
        <w:rPr>
          <w:b/>
        </w:rPr>
      </w:pPr>
      <w:r>
        <w:rPr>
          <w:b/>
        </w:rPr>
        <w:t>Procedural Requirements Have Been Satisfied</w:t>
      </w:r>
    </w:p>
    <w:p>
      <w:pPr>
        <w:spacing w:line="480" w:lineRule="auto"/>
        <w:ind w:firstLine="720"/>
      </w:pPr>
      <w:r>
        <w:t xml:space="preserve">On August 14, 2014, the State Bar properly filed and served an NDC on respondent by certified mail, return receipt requested, at her membership records address.  The NDC notified respondent that her failure to participate in the proceeding would result in a disbarment recommendation.  (Rule 5.41.)  The NDC was returned to the State Bar by the U.S. Postal Service as undeliverable.  </w:t>
      </w:r>
    </w:p>
    <w:p>
      <w:pPr>
        <w:spacing w:line="480" w:lineRule="auto"/>
        <w:ind w:firstLine="720"/>
      </w:pPr>
      <w:r>
        <w:t xml:space="preserve">In addition, reasonable diligence was also used to notify respondent of this proceeding.  Prior to filing the NDC, the State Bar made several attempts to contact respondent without success.  These efforts included having a State Bar investigator attempt to locate respondent, calling her at her membership records telephone number, sending an email to respondent at her membership records email address, and calling her at an alternative telephone number.  Upon filing the NDC, the State Bar emailed a copy of the NDC to respondent at her membership records email address and mailed her a copy of the NDC at a possible alternative address.  </w:t>
      </w:r>
    </w:p>
    <w:p>
      <w:pPr>
        <w:spacing w:line="480" w:lineRule="auto"/>
        <w:ind w:firstLine="720"/>
      </w:pPr>
      <w:r>
        <w:t xml:space="preserve">Respondent failed to file a response to the NDC.  On September 17, 2014, the State Bar filed and properly served a motion for entry of respondent’s default.  The motion complied with all the requirements for a default, including a supporting declaration of reasonable diligence by the deputy trial counsel declaring the additional steps taken to provide notice to respondent.  (Rule 5.80.)  The motion also notified respondent that if she did not timely move to set aside her </w:t>
      </w:r>
      <w:r>
        <w:lastRenderedPageBreak/>
        <w:t>default, the court would recommend her disbarment.  Respondent did not file a response to the motion, and her default was entered on October 1, 2014.  The order entering the default was served on respondent at her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she has remained inactively enrolled since that time.</w:t>
      </w:r>
    </w:p>
    <w:p>
      <w:pPr>
        <w:pStyle w:val="Header"/>
        <w:tabs>
          <w:tab w:val="clear" w:pos="4320"/>
          <w:tab w:val="clear" w:pos="8640"/>
        </w:tabs>
        <w:spacing w:line="480" w:lineRule="auto"/>
        <w:ind w:firstLine="720"/>
      </w:pPr>
      <w:r>
        <w:t xml:space="preserve">Respondent also did not seek to have her default set aside or vacated.  (Rule 5.83(C)(1) [attorney has 90 days to file motion to set aside default].)  On February 11, 2015, the State Bar filed the petition for disbarment.  As required by rule 5.85(A), the State Bar reported in the petition that:  (1) it has had no contact with respondent since the default was entered; (2) respondent has other disciplinary matters pending; (3) respondent has no prior record of discipline; and (4) the Client Security Fund has not made any payments resulting from respondent’s conduct.  Respondent did not respond to the petition for disbarment or move to set aside or vacate the default.  The case was submitted for decision on March 10, 2015.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5.85(F)(1)(d).)  </w:t>
      </w:r>
    </w:p>
    <w:p>
      <w:pPr>
        <w:spacing w:line="480" w:lineRule="auto"/>
        <w:ind w:firstLine="720"/>
        <w:rPr>
          <w:b/>
        </w:rPr>
      </w:pPr>
      <w:r>
        <w:rPr>
          <w:b/>
        </w:rPr>
        <w:t>Case No. 14-O-00778 – The Davenport Matter</w:t>
      </w:r>
    </w:p>
    <w:p>
      <w:pPr>
        <w:spacing w:line="480" w:lineRule="auto"/>
        <w:ind w:firstLine="720"/>
      </w:pPr>
      <w:r>
        <w:t>Count One – respondent willfully violated Rules of Professional Conduct, rule 3</w:t>
      </w:r>
      <w:r>
        <w:noBreakHyphen/>
        <w:t xml:space="preserve">110(A) (failure to perform) by failing to timely file and serve a requisite disclosure declaration; failing to </w:t>
      </w:r>
      <w:r>
        <w:lastRenderedPageBreak/>
        <w:t xml:space="preserve">file a bifurcation motion, failing to respond to three motions filed by the opposing party and served on respondent, and failing to appear at three court hearings.  </w:t>
      </w:r>
    </w:p>
    <w:p>
      <w:pPr>
        <w:spacing w:line="480" w:lineRule="auto"/>
        <w:ind w:firstLine="720"/>
      </w:pPr>
      <w:r>
        <w:t xml:space="preserve">Count Two – respondent willfully violated rule 4-100(A) of the Rules of Professional Conduct (failing to maintain client funds in trust) by failing to maintain $45,000 in client funds in a trust account on her client’s behalf.  </w:t>
      </w:r>
    </w:p>
    <w:p>
      <w:pPr>
        <w:spacing w:line="480" w:lineRule="auto"/>
        <w:ind w:firstLine="720"/>
      </w:pPr>
      <w:r>
        <w:t xml:space="preserve">Count Three – respondent willfully violated Business and Professions Code section 6106 (moral turpitude – misappropriation) by misappropriating for respondent’s own purposes $44,849.42 in entrusted client funds.  </w:t>
      </w:r>
    </w:p>
    <w:p>
      <w:pPr>
        <w:spacing w:line="480" w:lineRule="auto"/>
        <w:ind w:firstLine="720"/>
      </w:pPr>
      <w:r>
        <w:t xml:space="preserve">Count Four – respondent willfully violated rule 4-100(B)(3) of the Rules of Professional Conduct (failing to account) by failing to provide her client with an accounting.  </w:t>
      </w:r>
    </w:p>
    <w:p>
      <w:pPr>
        <w:spacing w:line="480" w:lineRule="auto"/>
        <w:ind w:firstLine="720"/>
      </w:pPr>
      <w:r>
        <w:t>Count Five – respondent willfully violated Rules of Professional Conduct, rule 4</w:t>
      </w:r>
      <w:r>
        <w:noBreakHyphen/>
        <w:t xml:space="preserve">100(B)(4) (failure to pay client funds promptly) by failing to refund $45,000 in client funds upon her client’s request.  </w:t>
      </w:r>
    </w:p>
    <w:p>
      <w:pPr>
        <w:spacing w:line="480" w:lineRule="auto"/>
        <w:ind w:firstLine="720"/>
      </w:pPr>
      <w:r>
        <w:t xml:space="preserve">Count Six – respondent willfully violated Business and Professions Code section 6068, subdivision (m) (failure to respond to client inquiries) by failing to respond to multiple client status inquiries received between approximately October 2013 and January 2014.  </w:t>
      </w:r>
    </w:p>
    <w:p>
      <w:pPr>
        <w:spacing w:line="480" w:lineRule="auto"/>
        <w:ind w:firstLine="720"/>
      </w:pPr>
      <w:r>
        <w:t xml:space="preserve">Count Seven –respondent willfully violated Business and Professions Code section 6068, subdivision (i) (failure to cooperate in a disciplinary investigation), by failing to provide a substantive response to the allegations in a disciplinary investigation after being contacted by the State Bar.  </w:t>
      </w:r>
    </w:p>
    <w:p>
      <w:pPr>
        <w:pStyle w:val="Header"/>
        <w:tabs>
          <w:tab w:val="clear" w:pos="4320"/>
          <w:tab w:val="clear" w:pos="8640"/>
        </w:tabs>
        <w:spacing w:line="480" w:lineRule="auto"/>
        <w:rPr>
          <w:b/>
        </w:rPr>
      </w:pPr>
      <w:r>
        <w:rPr>
          <w:b/>
        </w:rPr>
        <w:t>Disbarment is Recommended</w:t>
      </w:r>
    </w:p>
    <w:p>
      <w:pPr>
        <w:pStyle w:val="Header"/>
        <w:tabs>
          <w:tab w:val="clear" w:pos="4320"/>
          <w:tab w:val="clear" w:pos="8640"/>
        </w:tabs>
        <w:spacing w:line="480" w:lineRule="auto"/>
        <w:ind w:firstLine="720"/>
      </w:pPr>
      <w:r>
        <w:t>Based on the above, the court concludes that the requirements of rule 5.85(F) have been satisfied, and respondent’s disbarment is recommended.  In particular:</w:t>
      </w:r>
    </w:p>
    <w:p>
      <w:pPr>
        <w:pStyle w:val="Header"/>
        <w:tabs>
          <w:tab w:val="clear" w:pos="4320"/>
          <w:tab w:val="clear" w:pos="8640"/>
        </w:tabs>
        <w:spacing w:line="480" w:lineRule="auto"/>
        <w:ind w:firstLine="720"/>
      </w:pPr>
      <w:r>
        <w:t>(1) the NDC was properly served on respondent under rule 5.25;</w:t>
      </w:r>
    </w:p>
    <w:p>
      <w:pPr>
        <w:spacing w:line="480" w:lineRule="auto"/>
        <w:ind w:firstLine="720"/>
      </w:pPr>
      <w:r>
        <w:lastRenderedPageBreak/>
        <w:t>(2) reasonable diligence was used to notify respondent of the proceedings prior to the entry of her default, as the State Bar properly served her with the NDC and made various efforts to locate respondent, including having a State Bar investigator attempt to locate respondent, calling her at her membership records telephone number, sending an email to respondent at her membership records email address, calling her at an alternative telephone number, and sending copies of the NDC to respondent at her membership records email address and at a possible alternative address;</w:t>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 xml:space="preserve">Despite adequate notice and opportunity, respondent failed to participate in this disciplinary proceeding.  As set forth in the Rules of Procedure of the State Bar, the court recommends disbarment.  </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ind w:firstLine="720"/>
      </w:pPr>
      <w:r>
        <w:t xml:space="preserve">The court recommends that respondent Alma Luna Reyes be disbarred from the practice of law in the State of California and that her name be stricken from the roll of attorneys. </w:t>
      </w:r>
    </w:p>
    <w:p>
      <w:pPr>
        <w:spacing w:line="480" w:lineRule="auto"/>
        <w:rPr>
          <w:b/>
        </w:rPr>
      </w:pPr>
      <w:r>
        <w:rPr>
          <w:b/>
        </w:rPr>
        <w:t>Restitution</w:t>
      </w:r>
    </w:p>
    <w:p>
      <w:pPr>
        <w:spacing w:line="480" w:lineRule="auto"/>
        <w:ind w:firstLine="720"/>
      </w:pPr>
      <w:r>
        <w:t>The court also recommends that respondent be ordered to make restitution to Therese Davenport in the amount of $45,000 plus 10 percent interest per year from August 22, 2013.  Any restitution owed to the Client Security Fund is enforceable as provided in Business and Professions Code section 6140.5, subdivisions (c) and (d).</w:t>
      </w:r>
    </w:p>
    <w:p>
      <w:pPr>
        <w:rPr>
          <w:b/>
        </w:rPr>
      </w:pPr>
      <w:r>
        <w:rPr>
          <w:b/>
        </w:rPr>
        <w:br w:type="page"/>
      </w:r>
    </w:p>
    <w:p>
      <w:pPr>
        <w:pStyle w:val="Header"/>
        <w:tabs>
          <w:tab w:val="clear" w:pos="4320"/>
          <w:tab w:val="clear" w:pos="8640"/>
        </w:tabs>
        <w:spacing w:line="480" w:lineRule="auto"/>
        <w:rPr>
          <w:b/>
        </w:rPr>
      </w:pPr>
      <w:r>
        <w:rPr>
          <w:b/>
        </w:rPr>
        <w:lastRenderedPageBreak/>
        <w:t>California Rules of Court, Rule 9.20</w:t>
      </w:r>
    </w:p>
    <w:p>
      <w:pPr>
        <w:pStyle w:val="Header"/>
        <w:tabs>
          <w:tab w:val="clear" w:pos="4320"/>
          <w:tab w:val="clear" w:pos="8640"/>
        </w:tabs>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Alma Luna Reyes, State Bar number 237491, be involuntarily enrolled as an inactive member of the State Bar of California, effective three calendar days after the service of this decision and order.  (Rule 5.111(D).)</w:t>
      </w:r>
    </w:p>
    <w:p>
      <w:pPr>
        <w:spacing w:line="480" w:lineRule="auto"/>
        <w:ind w:firstLine="720"/>
      </w:pPr>
    </w:p>
    <w:p>
      <w:pPr>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pPr>
              <w:pStyle w:val="Header"/>
              <w:tabs>
                <w:tab w:val="clear" w:pos="4320"/>
                <w:tab w:val="clear" w:pos="8640"/>
              </w:tabs>
            </w:pPr>
            <w:r>
              <w:t xml:space="preserve">Dated:  </w:t>
            </w:r>
            <w:r>
              <w:rPr>
                <w:noProof/>
              </w:rPr>
              <w:t>May _____, 2015</w:t>
            </w:r>
          </w:p>
        </w:tc>
        <w:tc>
          <w:tcPr>
            <w:tcW w:w="4560" w:type="dxa"/>
            <w:tcBorders>
              <w:top w:val="single" w:sz="4" w:space="0" w:color="auto"/>
              <w:bottom w:val="nil"/>
              <w:right w:val="nil"/>
            </w:tcBorders>
          </w:tcPr>
          <w:p>
            <w:r>
              <w:t>LUCY ARMENDARIZ</w:t>
            </w:r>
          </w:p>
        </w:tc>
      </w:tr>
      <w:tr>
        <w:tc>
          <w:tcPr>
            <w:tcW w:w="4795" w:type="dxa"/>
            <w:tcBorders>
              <w:left w:val="nil"/>
              <w:bottom w:val="nil"/>
            </w:tcBorders>
          </w:tcPr>
          <w:p/>
        </w:tc>
        <w:tc>
          <w:tcPr>
            <w:tcW w:w="4560"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5.85(F)(2).)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44kG1dqWIKOI7nAiLqxkJsYRK7M=" w:salt="r1vicES88xNNsHdEscgynw=="/>
  <w:defaultTabStop w:val="720"/>
  <w:drawingGridHorizontalSpacing w:val="120"/>
  <w:displayHorizontalDrawingGridEvery w:val="2"/>
  <w:displayVertic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1477</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2015-05-22T21:34:00Z</dcterms:created>
  <dcterms:modified xsi:type="dcterms:W3CDTF">2015-05-22T21:35:00Z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