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19,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ANANA JOHARI RICE,</w:t>
            </w:r>
          </w:p>
          <w:p>
            <w:pPr>
              <w:rPr>
                <w:b/>
                <w:bCs/>
              </w:rPr>
            </w:pPr>
          </w:p>
          <w:p>
            <w:pPr>
              <w:rPr>
                <w:b/>
                <w:bCs/>
              </w:rPr>
            </w:pPr>
            <w:r>
              <w:rPr>
                <w:b/>
                <w:bCs/>
              </w:rPr>
              <w:t>Member No.  209795,</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14-O-01464-PEM</w:t>
            </w:r>
          </w:p>
          <w:p>
            <w:pPr>
              <w:rPr>
                <w:bCs/>
              </w:rPr>
            </w:pP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Anana Johari Rice was charged with six counts of misconduct stemming from a single client matter.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November 29, 2000, and has been a member since then.  </w:t>
      </w:r>
    </w:p>
    <w:p>
      <w:pPr>
        <w:spacing w:line="480" w:lineRule="auto"/>
        <w:rPr>
          <w:b/>
        </w:rPr>
      </w:pPr>
      <w:r>
        <w:rPr>
          <w:b/>
        </w:rPr>
        <w:t>Procedural Requirements Have Been Satisfied</w:t>
      </w:r>
    </w:p>
    <w:p>
      <w:pPr>
        <w:spacing w:line="480" w:lineRule="auto"/>
        <w:ind w:firstLine="720"/>
      </w:pPr>
      <w:r>
        <w:t xml:space="preserve">On October 27, 2014, the State Bar properly filed and served an NDC on respondent by certified mail, return receipt requested, at her membership records address.  The NDC notified respondent that her failure to participate in the proceeding would result in a disbarment recommendation.  (Rule 5.41.)  The NDC was not returned to the State Bar by the U.S. Postal Service as undeliverable or for any other reason.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contacting the Office of Probation of the State Bar of California to see if respondent’s assigned probation deputy could provide any additional contact information, calling respondent at her membership records telephone number, conducting an internet search for additional contact information, and sending an email to respondent at her membership records email address.  </w:t>
      </w:r>
    </w:p>
    <w:p>
      <w:pPr>
        <w:spacing w:line="480" w:lineRule="auto"/>
        <w:ind w:firstLine="720"/>
      </w:pPr>
      <w:r>
        <w:t xml:space="preserve">Respondent failed to file a response to the NDC.  On December 2, 2014,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w:t>
      </w:r>
      <w:r>
        <w:lastRenderedPageBreak/>
        <w:t>default, the court would recommend her disbarment.  Respondent did not file a response to the motion, and her default was entered on December 16, 2014.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90 days to file motion to set aside default].)  On March 27, 2015, the State Bar filed the petition for disbarment.  As required by rule 5.85(A), the State Bar reported in the petition that:  (1) it has had no contact with respondent since the default was entered; (2) respondent has another disciplinary matter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April 27, 2015.  </w:t>
      </w:r>
    </w:p>
    <w:p>
      <w:pPr>
        <w:pStyle w:val="Header"/>
        <w:tabs>
          <w:tab w:val="clear" w:pos="4320"/>
          <w:tab w:val="clear" w:pos="8640"/>
        </w:tabs>
        <w:spacing w:line="480" w:lineRule="auto"/>
        <w:ind w:firstLine="720"/>
      </w:pPr>
      <w:r>
        <w:t xml:space="preserve">Respondent has been disciplined on one prior occasion.  Pursuant to a Supreme Court order filed on July 9, 2014, in case no. S218356 (State Bar Court case nos. 13-O-11746, et al.), respondent was suspended for two years, the execution of which was stayed, and she was placed on probation for two years, including a minimum period of actual suspension of one year and until payment of restitution.  In this matter, respondent stipulated to thirteen counts of misconduct in five client matters, including failing to perform legal services with competence (four counts), failing to respond to reasonable client status inquiries (three counts), failing to return unearned fees (four counts), and failing to account (two counts).  </w:t>
      </w:r>
    </w:p>
    <w:p>
      <w:r>
        <w:t>/ / /</w:t>
      </w:r>
      <w:r>
        <w:br w:type="page"/>
      </w:r>
    </w:p>
    <w:p>
      <w:pPr>
        <w:pStyle w:val="Header"/>
        <w:tabs>
          <w:tab w:val="clear" w:pos="4320"/>
          <w:tab w:val="clear" w:pos="8640"/>
        </w:tabs>
        <w:spacing w:line="480" w:lineRule="auto"/>
        <w:rPr>
          <w:b/>
        </w:rPr>
      </w:pPr>
      <w:r>
        <w:rPr>
          <w:b/>
        </w:rPr>
        <w:lastRenderedPageBreak/>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ind w:firstLine="720"/>
        <w:rPr>
          <w:b/>
        </w:rPr>
      </w:pPr>
      <w:r>
        <w:rPr>
          <w:b/>
        </w:rPr>
        <w:t>Case No. 14-O-01464 – The Ayala Matter</w:t>
      </w:r>
    </w:p>
    <w:p>
      <w:pPr>
        <w:spacing w:line="480" w:lineRule="auto"/>
        <w:ind w:firstLine="720"/>
      </w:pPr>
      <w:r>
        <w:t>Count One – respondent willfully violated Rules of Professional Conduct, rule 3</w:t>
      </w:r>
      <w:r>
        <w:noBreakHyphen/>
        <w:t xml:space="preserve">700(A)(2) (improper withdrawal) by effectively terminating her employment without notice.  </w:t>
      </w:r>
    </w:p>
    <w:p>
      <w:pPr>
        <w:spacing w:line="480" w:lineRule="auto"/>
        <w:ind w:firstLine="720"/>
      </w:pPr>
      <w:r>
        <w:t xml:space="preserve">Count Two – respondent willfully violated rule 3-700(D)(1) of the Rules of Professional Conduct (failure to release file) by failing to promptly turn over her client’s papers and property upon her client’s request following termination of employment.  </w:t>
      </w:r>
    </w:p>
    <w:p>
      <w:pPr>
        <w:spacing w:line="480" w:lineRule="auto"/>
        <w:ind w:firstLine="720"/>
      </w:pPr>
      <w:r>
        <w:t xml:space="preserve">Count Three – respondent willfully violated rule 3-700(D)(2) of the Rules of Professional Conduct (failing to refund unearned fees) by failing to refund unearned advanced fees.  </w:t>
      </w:r>
    </w:p>
    <w:p>
      <w:pPr>
        <w:spacing w:line="480" w:lineRule="auto"/>
        <w:ind w:firstLine="720"/>
      </w:pPr>
      <w:r>
        <w:t>Count Four – respondent willfully violated rule 4-100(B)(3) of the Rules of Professional Conduct (failing to account) by failing to provide her client with an accounting.</w:t>
      </w:r>
      <w:r>
        <w:rPr>
          <w:rStyle w:val="FootnoteReference"/>
        </w:rPr>
        <w:footnoteReference w:id="3"/>
      </w:r>
      <w:r>
        <w:t xml:space="preserve">  </w:t>
      </w:r>
    </w:p>
    <w:p>
      <w:pPr>
        <w:spacing w:line="480" w:lineRule="auto"/>
        <w:ind w:firstLine="720"/>
      </w:pPr>
      <w:r>
        <w:t xml:space="preserve">Count Five – respondent willfully violated Business and Professions Code section 6068, subdivision (m) (failure to respond to client inquiries) by failing to respond to multiple client status inquiries received between approximately May and December 2013.  </w:t>
      </w:r>
    </w:p>
    <w:p>
      <w:pPr>
        <w:spacing w:line="480" w:lineRule="auto"/>
        <w:ind w:firstLine="720"/>
      </w:pPr>
      <w:r>
        <w:t xml:space="preserve">Count Six – respondent willfully violated section 6068, subdivision (j) (failure to update membership address) by vacating her office and failing to update her State Bar official membership records address within 30 days thereafter.  </w:t>
      </w:r>
    </w:p>
    <w:p>
      <w:pPr>
        <w:pStyle w:val="Header"/>
        <w:tabs>
          <w:tab w:val="clear" w:pos="4320"/>
          <w:tab w:val="clear" w:pos="8640"/>
        </w:tabs>
        <w:spacing w:line="480" w:lineRule="auto"/>
        <w:rPr>
          <w:b/>
        </w:rPr>
      </w:pPr>
      <w:r>
        <w:rPr>
          <w:b/>
        </w:rPr>
        <w:lastRenderedPageBreak/>
        <w:t>Disbarment is Recommended</w:t>
      </w:r>
    </w:p>
    <w:p>
      <w:pPr>
        <w:pStyle w:val="Header"/>
        <w:tabs>
          <w:tab w:val="clear" w:pos="4320"/>
          <w:tab w:val="clear" w:pos="8640"/>
        </w:tabs>
        <w:spacing w:line="480" w:lineRule="auto"/>
        <w:ind w:firstLine="720"/>
      </w:pPr>
      <w:r>
        <w:t>Based on the above, the court concludes that the requirements of rule 5.85(F)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her default, as the State Bar properly served her with the NDC and made various efforts to locate respondent, including contacting the Office of Probation of the State Bar of California to see if respondent’s assigned probation deputy could provide any additional contact information, calling respondent at her membership records telephone number, conducting an internet search for additional contact information, and sending an email to respondent at her membership records email address;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Anana Johari Rice be disbarred from the practice of law in the State of California and that her name be stricken from the roll of attorneys. </w:t>
      </w:r>
    </w:p>
    <w:p>
      <w:pPr>
        <w:rPr>
          <w:b/>
        </w:rPr>
      </w:pPr>
      <w:r>
        <w:t>/ / /</w:t>
      </w:r>
      <w:r>
        <w:rPr>
          <w:b/>
        </w:rPr>
        <w:br w:type="page"/>
      </w:r>
    </w:p>
    <w:p>
      <w:pPr>
        <w:spacing w:line="480" w:lineRule="auto"/>
        <w:rPr>
          <w:b/>
        </w:rPr>
      </w:pPr>
      <w:r>
        <w:rPr>
          <w:b/>
        </w:rPr>
        <w:lastRenderedPageBreak/>
        <w:t>Restitution</w:t>
      </w:r>
    </w:p>
    <w:p>
      <w:pPr>
        <w:spacing w:line="480" w:lineRule="auto"/>
        <w:ind w:firstLine="720"/>
      </w:pPr>
      <w:r>
        <w:t>The court also recommends that respondent be ordered to make restitution to Frank Ayala in the amount of $3,116.52 plus 10 percent interest per year from August 21, 2013.  Any restitution owed to the Client Security Fund is enforceable as provided in Business and Professions Code section 6140.5, subdivisions (c) and (d).</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Anana Johari Rice, State Bar number 209795, be involuntarily enrolled as an inactive member of the State Bar of California, effective three calendar days after the service of this decision and order.  (Rule 5.111(D).)</w:t>
      </w:r>
    </w:p>
    <w:p>
      <w:pPr>
        <w:spacing w:line="480" w:lineRule="auto"/>
        <w:ind w:firstLine="720"/>
      </w:pPr>
    </w:p>
    <w:p>
      <w:pPr>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May _____, 2015</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In Count Four, the NDC appears to contain a typographical error stating that respondent’s client paid advanced fees of “$31162.52.”  All other fee references in the NDC state that the client paid “$3116.52.”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3VQLcPM/DpbTy2kGCZcs7l6v9yg=" w:salt="d32frcKemqzdAg4rClnHZQ=="/>
  <w:defaultTabStop w:val="720"/>
  <w:drawingGridHorizontalSpacing w:val="120"/>
  <w:displayHorizontalDrawingGridEvery w:val="2"/>
  <w:displayVertic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2015-05-22T21:36:00Z</dcterms:created>
  <dcterms:modified xsi:type="dcterms:W3CDTF">2015-05-22T21:36:00Z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