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3,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rFonts w:eastAsiaTheme="minorEastAsia"/>
          <w:b/>
          <w:bCs/>
        </w:rPr>
      </w:pPr>
      <w:r>
        <w:rPr>
          <w:b/>
        </w:rPr>
        <w:t xml:space="preserve">HEARING DEPARTMENT – </w:t>
      </w:r>
      <w:r>
        <w:rPr>
          <w:rFonts w:eastAsiaTheme="minorEastAsia"/>
          <w:b/>
          <w:bCs/>
        </w:rPr>
        <w:t xml:space="preserve">LOS ANGELES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ROBERT MARSHALL FRENCH,</w:t>
            </w:r>
          </w:p>
          <w:p>
            <w:pPr>
              <w:tabs>
                <w:tab w:val="center" w:pos="4320"/>
                <w:tab w:val="right" w:pos="8640"/>
              </w:tabs>
              <w:rPr>
                <w:b/>
              </w:rPr>
            </w:pPr>
          </w:p>
          <w:p>
            <w:pPr>
              <w:tabs>
                <w:tab w:val="center" w:pos="4320"/>
                <w:tab w:val="right" w:pos="8640"/>
              </w:tabs>
              <w:rPr>
                <w:b/>
              </w:rPr>
            </w:pPr>
            <w:r>
              <w:rPr>
                <w:b/>
              </w:rPr>
              <w:t>Member No. 98654,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14-PM-05887-DFM (</w:t>
            </w:r>
            <w:r>
              <w:rPr>
                <w:b/>
              </w:rPr>
              <w:t>S211299)</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w:t>
      </w:r>
      <w:r>
        <w:t>Robert Marshall French,</w:t>
      </w:r>
      <w:r>
        <w:rPr>
          <w:b/>
        </w:rPr>
        <w:t xml:space="preserve"> </w:t>
      </w:r>
      <w:r>
        <w:t>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 and until he makes restitution.  If he remains suspended for two years or more, Respondent must also provide proof </w:t>
      </w:r>
      <w:r>
        <w:lastRenderedPageBreak/>
        <w:t xml:space="preserve">to the State Bar Court of his rehabilitation, fitness to practice and learning and ability in the general law before his suspension will be terminated.  (Rules Proc. of State Bar, tit. IV, Stds. for Atty. Sanctions for Prof. Misconduct, std. 1.2(c)(1).)  </w:t>
      </w:r>
    </w:p>
    <w:p>
      <w:pPr>
        <w:spacing w:line="480" w:lineRule="auto"/>
        <w:jc w:val="center"/>
        <w:rPr>
          <w:u w:val="single"/>
        </w:rPr>
      </w:pPr>
      <w:r>
        <w:rPr>
          <w:b/>
          <w:u w:val="single"/>
        </w:rPr>
        <w:t>Significant Procedural History</w:t>
      </w:r>
    </w:p>
    <w:p>
      <w:pPr>
        <w:spacing w:line="480" w:lineRule="auto"/>
        <w:ind w:firstLine="720"/>
      </w:pPr>
      <w:r>
        <w:t xml:space="preserve"> On November 17, 2014, the Office of Probation filed and properly served a motion to revoke probation</w:t>
      </w:r>
      <w:r>
        <w:rPr>
          <w:rStyle w:val="FootnoteReference"/>
        </w:rPr>
        <w:footnoteReference w:id="2"/>
      </w:r>
      <w:r>
        <w:t xml:space="preserve"> on Respondent.  The motion was mailed to Respondent’s official membership records address.  Respondent did not file a response within 20 days of the service of the motion.  </w:t>
      </w:r>
    </w:p>
    <w:p>
      <w:pPr>
        <w:spacing w:line="480" w:lineRule="auto"/>
        <w:ind w:firstLine="720"/>
      </w:pPr>
      <w:r>
        <w:t>The court took this matter under submission on January 7, 2015.</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July 17, 1981,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August 14, 2013, in Supreme Court case No. S211299, the California Supreme Court ordered, among other things, that:</w:t>
      </w:r>
    </w:p>
    <w:p>
      <w:pPr>
        <w:pStyle w:val="ListParagraph"/>
        <w:numPr>
          <w:ilvl w:val="0"/>
          <w:numId w:val="12"/>
        </w:numPr>
        <w:spacing w:line="480" w:lineRule="auto"/>
      </w:pPr>
      <w:r>
        <w:t>Respondent be suspended from the practice of law for one year, that execution of the suspension be stayed, that he be placed on probation for two years, and that he be actually suspended for 30 days, as recommended by the Hearing Department of the State Bar Court in its order approving stipulation filed April 11, 2013 (State Bar Court case No. 12-O-15656);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lastRenderedPageBreak/>
        <w:t xml:space="preserve">Respondent was required, within 30 days from the effective date of discipline (by October 13, 2013), to contact the Office of Probation and schedule a meeting with his assigned probation deputy to discuss the terms and conditions of his probation and to thereafter meet with the probation deputy as directed by the Office of Probation;  </w:t>
      </w:r>
    </w:p>
    <w:p>
      <w:pPr>
        <w:pStyle w:val="ListParagraph"/>
        <w:numPr>
          <w:ilvl w:val="0"/>
          <w:numId w:val="11"/>
        </w:numPr>
        <w:spacing w:line="480" w:lineRule="auto"/>
      </w:pPr>
      <w:r>
        <w:t xml:space="preserve">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 </w:t>
      </w:r>
    </w:p>
    <w:p>
      <w:pPr>
        <w:pStyle w:val="ListParagraph"/>
        <w:numPr>
          <w:ilvl w:val="0"/>
          <w:numId w:val="11"/>
        </w:numPr>
        <w:spacing w:line="480" w:lineRule="auto"/>
      </w:pPr>
      <w:r>
        <w:t>Within one year of the effective date of the discipline (by September 13, 2014), Respondent must provide to the Office of Probation satisfactory proof of attendance at a session of the State Bar Ethics School, and passage of the test given at the end of the session; and</w:t>
      </w:r>
    </w:p>
    <w:p>
      <w:pPr>
        <w:pStyle w:val="ListParagraph"/>
        <w:numPr>
          <w:ilvl w:val="0"/>
          <w:numId w:val="11"/>
        </w:numPr>
        <w:spacing w:line="480" w:lineRule="auto"/>
      </w:pPr>
      <w:r>
        <w:t xml:space="preserve">Within one year from the effective date of the discipline (by September 13, 2014), Respondent was to make restitution to the law firm of Reuben, Raucher &amp; Blum in the amount of $7,000, and furnish satisfactory evidence of restitution to the Office of Probation.  </w:t>
      </w:r>
    </w:p>
    <w:p>
      <w:pPr>
        <w:pStyle w:val="ListParagraph"/>
        <w:spacing w:line="480" w:lineRule="auto"/>
        <w:ind w:left="0" w:firstLine="720"/>
      </w:pPr>
      <w:r>
        <w:t>The Supreme Court order became effective on September 13, 2013, 30 days after it was entered.  (Cal. Rules of Court, rule 9.18(a).)  It was properly served on Respondent.</w:t>
      </w:r>
      <w:r>
        <w:rPr>
          <w:rStyle w:val="FootnoteReference"/>
        </w:rPr>
        <w:footnoteReference w:id="3"/>
      </w:r>
    </w:p>
    <w:p>
      <w:pPr>
        <w:spacing w:line="480" w:lineRule="auto"/>
        <w:ind w:firstLine="720"/>
      </w:pPr>
      <w:r>
        <w:lastRenderedPageBreak/>
        <w:t>On September 25, 2013, the Office of Probation wrote a letter to Respondent, properly sent to him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  The letter was not returned as undeliverable.</w:t>
      </w:r>
    </w:p>
    <w:p>
      <w:pPr>
        <w:spacing w:line="480" w:lineRule="auto"/>
        <w:ind w:firstLine="720"/>
      </w:pPr>
      <w:r>
        <w:t xml:space="preserve">Respondent did not contact the Office of Probation to set up a meeting with his probation deputy until October 21, 2013, eight days after the mandated deadline (October 13, 2013).  Deputy Michael Kanterakis of the Office of Probation conducted the required meeting with Respondent on October 23, 2013.  The probation deputy reviewed with him all of his probation conditions and their deadlines.  </w:t>
      </w:r>
    </w:p>
    <w:p>
      <w:pPr>
        <w:spacing w:line="480" w:lineRule="auto"/>
        <w:ind w:firstLine="720"/>
      </w:pPr>
      <w:r>
        <w:t xml:space="preserve">Respondent filed his quarterly report due July 10, 2014, on July 11, 2014, one day late.  </w:t>
      </w:r>
    </w:p>
    <w:p>
      <w:pPr>
        <w:spacing w:line="480" w:lineRule="auto"/>
        <w:ind w:firstLine="720"/>
      </w:pPr>
      <w:r>
        <w:t>In addition, he has not provided any proof of restitution or attendance at the Ethics School by September 13, 2014.</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pPr>
        <w:spacing w:line="480" w:lineRule="auto"/>
        <w:ind w:firstLine="720"/>
      </w:pPr>
      <w:r>
        <w:lastRenderedPageBreak/>
        <w:t>Respondent did not comply with the conditions of probation, as ordered by the Supreme Court in S211299:  (1) Respondent failed to contact the Office of Probation by October 13, 2013; (2) Respondent failed to timely file his July 10, 2014 quarterly report; (3) Respondent has failed to attend the Ethics School by September 13, 2014; and (4) Respondent has failed to provide the Office of Probation with any proof of restitution.</w:t>
      </w:r>
    </w:p>
    <w:p>
      <w:pPr>
        <w:spacing w:line="480" w:lineRule="auto"/>
        <w:ind w:firstLine="720"/>
      </w:pPr>
      <w:r>
        <w:t>As a result, the revocation of Respondent’s probation in California Supreme Court order No. S211299 is warranted.</w:t>
      </w:r>
    </w:p>
    <w:p>
      <w:pPr>
        <w:spacing w:line="480" w:lineRule="auto"/>
        <w:contextualSpacing/>
      </w:pPr>
      <w:r>
        <w:rPr>
          <w:b/>
        </w:rPr>
        <w:t>Aggravation</w:t>
      </w:r>
      <w:r>
        <w:rPr>
          <w:rStyle w:val="FootnoteReference"/>
        </w:rPr>
        <w:footnoteReference w:id="4"/>
      </w:r>
    </w:p>
    <w:p>
      <w:pPr>
        <w:ind w:left="720"/>
      </w:pPr>
      <w:r>
        <w:rPr>
          <w:b/>
        </w:rPr>
        <w:t>Prior Record of Discipline (Std. 1.5(a).)</w:t>
      </w:r>
    </w:p>
    <w:p>
      <w:pPr>
        <w:ind w:left="720"/>
      </w:pPr>
    </w:p>
    <w:p>
      <w:pPr>
        <w:spacing w:line="480" w:lineRule="auto"/>
        <w:ind w:left="720"/>
      </w:pPr>
      <w:r>
        <w:t xml:space="preserve">Respondent has two prior records of discipline. </w:t>
      </w:r>
    </w:p>
    <w:p>
      <w:pPr>
        <w:spacing w:line="480" w:lineRule="auto"/>
        <w:ind w:firstLine="720"/>
      </w:pPr>
      <w:r>
        <w:t>In 1997 Respondent was publicly reproved for engaging in false, misleading or deceptive advertisements, failing to factually substantiate the advertised messages, and failing to comply with California law.  (State Bar Court case No. 95-O-14628, effective March 20, 1997.)</w:t>
      </w:r>
    </w:p>
    <w:p>
      <w:pPr>
        <w:spacing w:line="480" w:lineRule="auto"/>
        <w:ind w:firstLine="720"/>
      </w:pPr>
      <w:r>
        <w:t xml:space="preserve">In the underlying matter, Respondent stipulated to culpability in one client matter for failing to pay court sanctions, failing to report the $7,000 sanctions to the State Bar, and failing to cooperate with the State Bar.  He was ordered suspended for one year, stayed, placed on probation for two years, and actually suspended for 30 days.  (Supreme Court case No. S211299, effective September 13, 2013; State Bar Court case No. 12-O-15656.)  </w:t>
      </w:r>
    </w:p>
    <w:p>
      <w:pPr>
        <w:ind w:left="720"/>
        <w:rPr>
          <w:b/>
        </w:rPr>
      </w:pPr>
      <w:r>
        <w:rPr>
          <w:b/>
        </w:rPr>
        <w:t>Multiple Acts (Std. 1.5(b).)</w:t>
      </w:r>
    </w:p>
    <w:p>
      <w:pPr>
        <w:ind w:left="720"/>
        <w:rPr>
          <w:b/>
          <w:sz w:val="22"/>
          <w:szCs w:val="22"/>
        </w:rPr>
      </w:pPr>
      <w:r>
        <w:tab/>
      </w:r>
    </w:p>
    <w:p>
      <w:pPr>
        <w:spacing w:line="480" w:lineRule="auto"/>
        <w:ind w:firstLine="720"/>
      </w:pPr>
      <w:r>
        <w:t xml:space="preserve">Respondent committed multiple acts of wrongdoing, including failing to timely contact the Office of Probation, failing to timely file a quarterly report, and failing to provide proof of restitution and attendance at the State Bar Ethics School.    </w:t>
      </w:r>
    </w:p>
    <w:p>
      <w:pPr>
        <w:ind w:left="720"/>
        <w:rPr>
          <w:b/>
        </w:rPr>
      </w:pPr>
      <w:r>
        <w:rPr>
          <w:b/>
        </w:rPr>
        <w:lastRenderedPageBreak/>
        <w:t xml:space="preserve">Indifference Toward Rectification/Atonement (Std. 1.5(g).) </w:t>
      </w:r>
    </w:p>
    <w:p>
      <w:pPr>
        <w:ind w:left="720"/>
        <w:rPr>
          <w:b/>
        </w:rPr>
      </w:pPr>
      <w:r>
        <w:tab/>
      </w: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iCs/>
        </w:rPr>
        <w:t>In the Matter of Tiernan</w:t>
      </w:r>
      <w:r>
        <w:t xml:space="preserve"> (Review Dept. 1996) 3 Cal. State Bar Ct. Rptr. 523, 530.)  Although the motion to revoke his probation was filed in November 2014, which put Respondent on notice that his probation status was in jeopardy, Respondent still failed to provide proof of restitution or attendance at the Ethics School to the Office of Probation.</w:t>
      </w:r>
    </w:p>
    <w:p>
      <w:pPr>
        <w:ind w:left="720"/>
        <w:rPr>
          <w:b/>
        </w:rPr>
      </w:pPr>
      <w:r>
        <w:rPr>
          <w:b/>
        </w:rPr>
        <w:t xml:space="preserve">Lack of Candor/Cooperation to Victims/State Bar (Std. 1.5(h.) </w:t>
      </w:r>
    </w:p>
    <w:p>
      <w:pPr>
        <w:ind w:left="720"/>
        <w:rPr>
          <w:b/>
        </w:rPr>
      </w:pPr>
      <w:r>
        <w:tab/>
      </w:r>
    </w:p>
    <w:p>
      <w:pPr>
        <w:spacing w:line="480" w:lineRule="auto"/>
        <w:ind w:firstLine="720"/>
      </w:pPr>
      <w:r>
        <w:t xml:space="preserve">Respondent’s failure to participate in this proceeding is also an aggravating factor.  </w:t>
      </w:r>
    </w:p>
    <w:p>
      <w:pPr>
        <w:spacing w:line="480" w:lineRule="auto"/>
        <w:contextualSpacing/>
      </w:pPr>
      <w:r>
        <w:rPr>
          <w:b/>
        </w:rPr>
        <w:t>Mitigation</w:t>
      </w:r>
    </w:p>
    <w:p>
      <w:pPr>
        <w:spacing w:line="480" w:lineRule="auto"/>
        <w:contextualSpacing/>
      </w:pPr>
      <w:r>
        <w:tab/>
        <w:t>Since Respondent did not file a response to the probation revocation motion, no evidence in mitigation was presented and none is apparent from the record.  (Std. 1.6.)</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1.8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 xml:space="preserve">The Office of Probation requested that Respondent be actually suspended for the full amount of stayed suspension and that he should remain suspended (1) until he makes restitution </w:t>
      </w:r>
      <w:r>
        <w:lastRenderedPageBreak/>
        <w:t>to the law firm of Reuben, Raucher &amp; Blum in the amount of $7,000, and furnish satisfactory evidence of restitution to the Office of Probation; and (2) until he complies with standard 1.2(c)(1), if the actual suspension exceeds two years.  (</w:t>
      </w:r>
      <w:r>
        <w:rPr>
          <w:i/>
        </w:rPr>
        <w:t>In the Matter of Luis</w:t>
      </w:r>
      <w:r>
        <w:t xml:space="preserve"> (Review Dept. 2004) 4 Cal. State Bar Ct. Rptr. 737.)  The court agrees.</w:t>
      </w:r>
    </w:p>
    <w:p>
      <w:pPr>
        <w:spacing w:line="480" w:lineRule="auto"/>
        <w:contextualSpacing/>
        <w:jc w:val="center"/>
      </w:pPr>
      <w:r>
        <w:rPr>
          <w:b/>
          <w:u w:val="single"/>
        </w:rPr>
        <w:t>Recommendations</w:t>
      </w:r>
    </w:p>
    <w:p>
      <w:pPr>
        <w:spacing w:line="480" w:lineRule="auto"/>
      </w:pPr>
      <w:r>
        <w:tab/>
        <w:t>The court recommends that the probation of Respondent</w:t>
      </w:r>
      <w:r>
        <w:rPr>
          <w:bCs/>
        </w:rPr>
        <w:t xml:space="preserve"> </w:t>
      </w:r>
      <w:r>
        <w:t>Robert Marshall French, member No. 98654, imposed in Supreme Court case No. S211299 (State Bar Court case No. 12-O-15656) be revoked; that the previous stay of execution of the suspension be lifted; and that Respondent be actually suspended from the practice of law for one year and he will remain suspended until the following requirements are satisfied:</w:t>
      </w:r>
    </w:p>
    <w:p>
      <w:pPr>
        <w:numPr>
          <w:ilvl w:val="0"/>
          <w:numId w:val="17"/>
        </w:numPr>
        <w:tabs>
          <w:tab w:val="left" w:pos="1080"/>
        </w:tabs>
        <w:ind w:left="1080"/>
      </w:pPr>
      <w:r>
        <w:t>Respondent makes restitution to law firm of Reuben, Raucher &amp; Blum in the amount of $7,000 and furnishes satisfactory proof to the State Bar’s Office of Probation in Los Angeles; and</w:t>
      </w:r>
    </w:p>
    <w:p>
      <w:pPr>
        <w:tabs>
          <w:tab w:val="left" w:pos="1080"/>
        </w:tabs>
        <w:ind w:left="1080"/>
      </w:pPr>
    </w:p>
    <w:p>
      <w:pPr>
        <w:numPr>
          <w:ilvl w:val="0"/>
          <w:numId w:val="17"/>
        </w:numPr>
        <w:tabs>
          <w:tab w:val="left" w:pos="1080"/>
        </w:tabs>
        <w:ind w:left="1080"/>
      </w:pPr>
      <w:r>
        <w:t>If he remains suspended for two years or more as a result of not satisfying the preceding condition, he must also provide proof to the State Bar Court of his rehabilitation, fitness to practice and learning and ability in the general law before his suspension will be terminated.  (Rules Proc. of State Bar, tit. IV, Stds. for Atty. Sanctions for Prof. Misconduct, std. 1.2(c)(1).)</w:t>
      </w:r>
    </w:p>
    <w:p>
      <w:pPr>
        <w:ind w:left="720"/>
      </w:pPr>
    </w:p>
    <w:p>
      <w:pPr>
        <w:spacing w:line="480" w:lineRule="auto"/>
        <w:contextualSpacing/>
      </w:pPr>
      <w:r>
        <w:rPr>
          <w:b/>
        </w:rPr>
        <w:tab/>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previously ordered to do so in Supreme Court case No. S211299.</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w:t>
      </w:r>
      <w:r>
        <w:lastRenderedPageBreak/>
        <w:t>and (c) of that rule within 30 and 40 days, respectively, after the effective date of the Supreme Court order in this proceeding.  Failure to do so may result in disbarment or suspension.</w:t>
      </w:r>
      <w:r>
        <w:rPr>
          <w:rStyle w:val="FootnoteReference"/>
        </w:rPr>
        <w:footnoteReference w:id="5"/>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6"/>
      </w:r>
      <w:r>
        <w:t xml:space="preserve">  This inactive enrollment order will be effective three calendar days after the date upon which this order is served.</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February _____, 2015</w:t>
            </w:r>
          </w:p>
        </w:tc>
        <w:tc>
          <w:tcPr>
            <w:tcW w:w="4560" w:type="dxa"/>
            <w:tcBorders>
              <w:top w:val="single" w:sz="4" w:space="0" w:color="auto"/>
              <w:bottom w:val="nil"/>
              <w:right w:val="nil"/>
            </w:tcBorders>
          </w:tcPr>
          <w:p>
            <w:r>
              <w:t xml:space="preserve">DONALD F. MILES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ind w:firstLine="720"/>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ind w:firstLine="720"/>
      </w:pPr>
      <w:r>
        <w:rPr>
          <w:rStyle w:val="FootnoteReference"/>
        </w:rPr>
        <w:footnoteRef/>
      </w:r>
      <w:r>
        <w:t xml:space="preserve"> The court takes judicial notice of the certified copy of Respondent's second prior record of discipline attached to the motion (case No. 12-O-15656).  The court also takes judicial notice of the certified copy of Respondent's first prior record of discipline (case No. 95-O-14628), as requested by the Office of Probation on December 12, 2014.</w:t>
      </w:r>
    </w:p>
  </w:footnote>
  <w:footnote w:id="3">
    <w:p>
      <w:pPr>
        <w:pStyle w:val="Style1"/>
        <w:ind w:firstLine="720"/>
      </w:pP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4">
    <w:p>
      <w:pPr>
        <w:pStyle w:val="Style1"/>
        <w:ind w:firstLine="720"/>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1"/>
        <w:ind w:firstLine="720"/>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6">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477CF"/>
    <w:multiLevelType w:val="hybridMultilevel"/>
    <w:tmpl w:val="9496C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17300C"/>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15"/>
  </w:num>
  <w:num w:numId="5">
    <w:abstractNumId w:val="11"/>
  </w:num>
  <w:num w:numId="6">
    <w:abstractNumId w:val="6"/>
  </w:num>
  <w:num w:numId="7">
    <w:abstractNumId w:val="14"/>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
  </w:num>
  <w:num w:numId="13">
    <w:abstractNumId w:val="9"/>
  </w:num>
  <w:num w:numId="14">
    <w:abstractNumId w:val="10"/>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7fYaiORK2j9UB2GEDcAPVdZJxBQ=" w:salt="yyQJAbE4bXPf+kks0aKSW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2015-02-05T19:16:00Z</cp:lastPrinted>
  <dcterms:created xsi:type="dcterms:W3CDTF">2015-02-05T19:15:00Z</dcterms:created>
  <dcterms:modified xsi:type="dcterms:W3CDTF">2015-02-05T19:16:00Z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